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800"/>
      </w:pPr>
    </w:p>
    <w:p>
      <w:pPr>
        <w:spacing w:after="200"/>
      </w:pPr>
      <w:r>
        <w:rPr>
          <w:color w:val="595959"/>
          <w:sz w:val="28"/>
          <w:szCs w:val="28"/>
          <w:highlight w:val="yellow"/>
        </w:rPr>
        <w:t xml:space="preserve">[Organization name]</w:t>
      </w:r>
    </w:p>
    <w:p>
      <w:pPr>
        <w:spacing w:after="200"/>
      </w:pPr>
      <w:r>
        <w:rPr>
          <w:b/>
          <w:bCs/>
          <w:color w:val="1F3864"/>
          <w:sz w:val="56"/>
          <w:szCs w:val="56"/>
        </w:rPr>
        <w:t xml:space="preserve">AI Security Programme Charter</w:t>
      </w:r>
    </w:p>
    <w:p>
      <w:pPr>
        <w:spacing w:after="600"/>
      </w:pPr>
      <w:r>
        <w:rPr>
          <w:color w:val="2F5597"/>
          <w:sz w:val="26"/>
          <w:szCs w:val="26"/>
        </w:rPr>
        <w:t xml:space="preserve">One document that sets up the AI security and governance programme and points to the detail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73"/>
        <w:gridCol w:w="6265"/>
      </w:tblGrid>
      <w:tr>
        <w:trPr>
          <w:cantSplit/>
          <w:tblHeader/>
        </w:trPr>
        <w:tc>
          <w:tcPr>
            <w:tcW w:type="dxa" w:w="3373"/>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Document control</w:t>
            </w:r>
          </w:p>
        </w:tc>
        <w:tc>
          <w:tcPr>
            <w:tcW w:type="dxa" w:w="6265"/>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Document owner</w:t>
            </w:r>
          </w:p>
        </w:tc>
        <w:tc>
          <w:tcPr>
            <w:tcW w:type="dxa" w:w="62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highlight w:val="yellow"/>
              </w:rPr>
              <w:t xml:space="preserve">[Name, role]</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Approved by</w:t>
            </w:r>
          </w:p>
        </w:tc>
        <w:tc>
          <w:tcPr>
            <w:tcW w:type="dxa" w:w="62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highlight w:val="yellow"/>
              </w:rPr>
              <w:t xml:space="preserve">[Name, role or committee]</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Approval date</w:t>
            </w:r>
          </w:p>
        </w:tc>
        <w:tc>
          <w:tcPr>
            <w:tcW w:type="dxa" w:w="62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highlight w:val="yellow"/>
              </w:rPr>
              <w:t xml:space="preserve">[YYYY-MM-DD]</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Effective date</w:t>
            </w:r>
          </w:p>
        </w:tc>
        <w:tc>
          <w:tcPr>
            <w:tcW w:type="dxa" w:w="62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highlight w:val="yellow"/>
              </w:rPr>
              <w:t xml:space="preserve">[YYYY-MM-DD]</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Next review date</w:t>
            </w:r>
          </w:p>
        </w:tc>
        <w:tc>
          <w:tcPr>
            <w:tcW w:type="dxa" w:w="62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highlight w:val="yellow"/>
              </w:rPr>
              <w:t xml:space="preserve">[YYYY-MM-DD]</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Version</w:t>
            </w:r>
          </w:p>
        </w:tc>
        <w:tc>
          <w:tcPr>
            <w:tcW w:type="dxa" w:w="62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highlight w:val="yellow"/>
              </w:rPr>
              <w:t xml:space="preserve">[1.0]</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Classification</w:t>
            </w:r>
          </w:p>
        </w:tc>
        <w:tc>
          <w:tcPr>
            <w:tcW w:type="dxa" w:w="62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highlight w:val="yellow"/>
              </w:rPr>
              <w:t xml:space="preserve">[Internal]</w:t>
            </w:r>
          </w:p>
        </w:tc>
      </w:tr>
    </w:tbl>
    <w:p>
      <w:pPr>
        <w:spacing w:after="120"/>
      </w:pPr>
    </w:p>
    <w:p>
      <w:pPr>
        <w:spacing w:before="400"/>
      </w:pPr>
      <w:r>
        <w:rPr>
          <w:color w:val="595959"/>
          <w:sz w:val="16"/>
          <w:szCs w:val="16"/>
        </w:rPr>
        <w:t xml:space="preserve">Charter template built from the AI Security Wiki (https://nachi065.github.io/AI-Security-Wiki/), template version 1.0, 22 October 2026.</w:t>
      </w:r>
    </w:p>
    <w:p>
      <w:r>
        <w:rPr>
          <w:color w:val="595959"/>
          <w:sz w:val="16"/>
          <w:szCs w:val="16"/>
        </w:rPr>
        <w:t xml:space="preserve">Copyright (c) 2026 Nachiket Sathaye. Licensed under CC BY-SA 4.0 (https://creativecommons.org/licenses/by-sa/4.0/). See "Licence and credit" at the end.</w:t>
      </w:r>
    </w:p>
    <w:p>
      <w:r>
        <w:br w:type="pag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55A11" w:sz="12"/>
              <w:left w:val="single" w:color="C55A11" w:sz="12"/>
              <w:bottom w:val="single" w:color="C55A11" w:sz="12"/>
              <w:right w:val="single" w:color="C55A11" w:sz="12"/>
            </w:tcBorders>
            <w:shd w:fill="FFF4E5" w:color="auto" w:val="clear"/>
            <w:tcMar>
              <w:top w:type="dxa" w:w="120"/>
              <w:left w:type="dxa" w:w="160"/>
              <w:bottom w:type="dxa" w:w="120"/>
              <w:right w:type="dxa" w:w="160"/>
            </w:tcMar>
          </w:tcPr>
          <w:p>
            <w:pPr>
              <w:spacing w:after="80"/>
            </w:pPr>
            <w:r>
              <w:rPr>
                <w:b/>
                <w:bCs/>
                <w:color w:val="C55A11"/>
              </w:rPr>
              <w:t xml:space="preserve">How to use this template (delete this box when you complete it)</w:t>
            </w:r>
          </w:p>
          <w:p>
            <w:pPr>
              <w:spacing w:after="60"/>
            </w:pPr>
            <w:r>
              <w:rPr>
                <w:sz w:val="19"/>
                <w:szCs w:val="19"/>
              </w:rPr>
              <w:t xml:space="preserve">This charter brings the programme together in one approvable document. It does not repeat the wiki's detail: each section says what to decide and links to the wiki page that holds the method, table or template.</w:t>
            </w:r>
          </w:p>
          <w:p>
            <w:pPr>
              <w:spacing w:after="60"/>
            </w:pPr>
            <w:r>
              <w:rPr>
                <w:sz w:val="19"/>
                <w:szCs w:val="19"/>
              </w:rPr>
              <w:t xml:space="preserve">Have the governing body (the board, or its risk or audit committee) approve sections 2, 3 and 5. The accountable executive may approve the rest.</w:t>
            </w:r>
          </w:p>
          <w:p>
            <w:pPr>
              <w:spacing w:after="60"/>
            </w:pPr>
            <w:r>
              <w:rPr>
                <w:sz w:val="19"/>
                <w:szCs w:val="19"/>
              </w:rPr>
              <w:t xml:space="preserve">Values shown as examples (meeting frequencies, limits, response times, retention periods) are the wiki's illustrative defaults, not values from a standard or a law. Replace them with your own, and where a law sets a deadline or period, the law wins.</w:t>
            </w:r>
          </w:p>
          <w:p>
            <w:pPr>
              <w:spacing w:after="60"/>
            </w:pPr>
            <w:r>
              <w:rPr>
                <w:sz w:val="19"/>
                <w:szCs w:val="19"/>
              </w:rPr>
              <w:t xml:space="preserve">Replace every </w:t>
            </w:r>
            <w:r>
              <w:rPr>
                <w:sz w:val="19"/>
                <w:szCs w:val="19"/>
                <w:highlight w:val="yellow"/>
              </w:rPr>
              <w:t xml:space="preserve">[highlighted placeholder]</w:t>
            </w:r>
            <w:r>
              <w:rPr>
                <w:sz w:val="19"/>
                <w:szCs w:val="19"/>
              </w:rPr>
              <w:t xml:space="preserve">. This is not legal advice.</w:t>
            </w:r>
          </w:p>
        </w:tc>
      </w:tr>
    </w:tbl>
    <w:p>
      <w:pPr>
        <w:spacing w:after="160"/>
      </w:pPr>
    </w:p>
    <w:p>
      <w:pPr>
        <w:spacing w:after="120"/>
      </w:pPr>
      <w:r>
        <w:rPr>
          <w:b/>
          <w:bCs/>
          <w:color w:val="1F3864"/>
          <w:sz w:val="28"/>
          <w:szCs w:val="28"/>
        </w:rPr>
        <w:t xml:space="preserve">Contents</w:t>
      </w:r>
    </w:p>
    <w:sdt>
      <w:sdtPr>
        <w:alias w:val="Contents"/>
      </w:sdtPr>
      <w:sdtContent>
        <w:p>
          <w:r>
            <w:fldChar w:fldCharType="begin" w:dirty="true"/>
            <w:instrText xml:space="preserve">TOC \h \o "1-2"</w:instrText>
            <w:fldChar w:fldCharType="separate"/>
          </w:r>
        </w:p>
        <w:p>
          <w:r>
            <w:fldChar w:fldCharType="end"/>
          </w:r>
        </w:p>
      </w:sdtContent>
    </w:sdt>
    <w:p>
      <w:r>
        <w:rPr>
          <w:i/>
          <w:iCs/>
          <w:color w:val="595959"/>
          <w:sz w:val="16"/>
          <w:szCs w:val="16"/>
        </w:rPr>
        <w:t xml:space="preserve">If the contents list is empty, right-click it and choose Update Field (Word fills it when the document opens).</w:t>
      </w:r>
    </w:p>
    <w:p>
      <w:r>
        <w:br w:type="page"/>
      </w:r>
    </w:p>
    <w:p>
      <w:pPr>
        <w:pStyle w:val="Heading1"/>
      </w:pPr>
      <w:r>
        <w:t xml:space="preserve">1. Purpose and scope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73"/>
        <w:gridCol w:w="6265"/>
      </w:tblGrid>
      <w:tr>
        <w:trPr>
          <w:cantSplit/>
          <w:tblHeader/>
        </w:trPr>
        <w:tc>
          <w:tcPr>
            <w:tcW w:type="dxa" w:w="3373"/>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Field</w:t>
            </w:r>
          </w:p>
        </w:tc>
        <w:tc>
          <w:tcPr>
            <w:tcW w:type="dxa" w:w="6265"/>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Entry</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Purpose of the programme (one or two sentences)</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AI in scope: workforce AI tools, coding assistants, custom AI applications, agents, predictive models, AI in third-party products</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Organizational units and jurisdictions in scope</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Out of scope, with the reason</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Related programmes (information security, privacy, model risk, third-party risk)</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pPr>
        <w:spacing w:after="160"/>
      </w:pPr>
      <w:r>
        <w:rPr>
          <w:b/>
          <w:bCs/>
          <w:color w:val="595959"/>
          <w:sz w:val="16"/>
          <w:szCs w:val="16"/>
        </w:rPr>
        <w:t xml:space="preserve">Source: </w:t>
      </w:r>
      <w:r>
        <w:rPr>
          <w:color w:val="595959"/>
          <w:sz w:val="16"/>
          <w:szCs w:val="16"/>
        </w:rPr>
        <w:t xml:space="preserve">AI Governance Operating Model; Predictive Model Monitoring and Adversarial ML (scope of predictive models).</w:t>
      </w:r>
    </w:p>
    <w:p>
      <w:pPr>
        <w:pStyle w:val="Heading1"/>
      </w:pPr>
      <w:r>
        <w:t xml:space="preserve">2. Risk appetite and prohibited uses</w:t>
      </w:r>
    </w:p>
    <w:p>
      <w:pPr>
        <w:spacing w:after="120"/>
      </w:pPr>
      <w:r>
        <w:t xml:space="preserve">Record the approved AI risk appetite statement and the categories of use the organization will not undertake. Prohibited uses are not scored, accepted or excepted.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73"/>
        <w:gridCol w:w="6265"/>
      </w:tblGrid>
      <w:tr>
        <w:trPr>
          <w:cantSplit/>
          <w:tblHeader/>
        </w:trPr>
        <w:tc>
          <w:tcPr>
            <w:tcW w:type="dxa" w:w="3373"/>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Field</w:t>
            </w:r>
          </w:p>
        </w:tc>
        <w:tc>
          <w:tcPr>
            <w:tcW w:type="dxa" w:w="6265"/>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Entry</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AI risk appetite statement</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Highest residual rating acceptable within appetite (wiki default: Medium)</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Prohibited categories of AI use</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Categories of AI use that always count as high-risk</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Approved by (governing body) and date</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pPr>
        <w:spacing w:after="160"/>
      </w:pPr>
      <w:r>
        <w:rPr>
          <w:b/>
          <w:bCs/>
          <w:color w:val="595959"/>
          <w:sz w:val="16"/>
          <w:szCs w:val="16"/>
        </w:rPr>
        <w:t xml:space="preserve">Source: </w:t>
      </w:r>
      <w:r>
        <w:rPr>
          <w:color w:val="595959"/>
          <w:sz w:val="16"/>
          <w:szCs w:val="16"/>
        </w:rPr>
        <w:t xml:space="preserve">AI Risk Methodology (Risk Appetite and Criteria; Scoring Method, Step 1); AI Governance Operating Model (Decisions Reserved for the Governing Body).</w:t>
      </w:r>
    </w:p>
    <w:p>
      <w:pPr>
        <w:pStyle w:val="Heading1"/>
      </w:pPr>
      <w:r>
        <w:t xml:space="preserve">3. Accountability and governance bodies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99"/>
        <w:gridCol w:w="2891"/>
        <w:gridCol w:w="4048"/>
      </w:tblGrid>
      <w:tr>
        <w:trPr>
          <w:cantSplit/>
          <w:tblHeader/>
        </w:trPr>
        <w:tc>
          <w:tcPr>
            <w:tcW w:type="dxa" w:w="2699"/>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Role or body</w:t>
            </w:r>
          </w:p>
        </w:tc>
        <w:tc>
          <w:tcPr>
            <w:tcW w:type="dxa" w:w="2891"/>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Named person or members</w:t>
            </w:r>
          </w:p>
        </w:tc>
        <w:tc>
          <w:tcPr>
            <w:tcW w:type="dxa" w:w="4048"/>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Responsibilities (summary)</w:t>
            </w:r>
          </w:p>
        </w:tc>
      </w:tr>
      <w:tr>
        <w:trPr>
          <w:cantSplit/>
          <w:tblHeader w:val="false"/>
        </w:trPr>
        <w:tc>
          <w:tcPr>
            <w:tcW w:type="dxa" w:w="269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Governing body</w:t>
            </w:r>
          </w:p>
        </w:tc>
        <w:tc>
          <w:tcPr>
            <w:tcW w:type="dxa" w:w="289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404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269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Accountable executive</w:t>
            </w:r>
          </w:p>
        </w:tc>
        <w:tc>
          <w:tcPr>
            <w:tcW w:type="dxa" w:w="289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404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269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AI Governance Committee</w:t>
            </w:r>
          </w:p>
        </w:tc>
        <w:tc>
          <w:tcPr>
            <w:tcW w:type="dxa" w:w="289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404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269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AI Security Review Board</w:t>
            </w:r>
          </w:p>
        </w:tc>
        <w:tc>
          <w:tcPr>
            <w:tcW w:type="dxa" w:w="289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404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269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Data Protection Officer</w:t>
            </w:r>
          </w:p>
        </w:tc>
        <w:tc>
          <w:tcPr>
            <w:tcW w:type="dxa" w:w="289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404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269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AI Platform Owner</w:t>
            </w:r>
          </w:p>
        </w:tc>
        <w:tc>
          <w:tcPr>
            <w:tcW w:type="dxa" w:w="289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404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269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Risk owners</w:t>
            </w:r>
          </w:p>
        </w:tc>
        <w:tc>
          <w:tcPr>
            <w:tcW w:type="dxa" w:w="289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404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269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Agent sponsors</w:t>
            </w:r>
          </w:p>
        </w:tc>
        <w:tc>
          <w:tcPr>
            <w:tcW w:type="dxa" w:w="289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404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2699"/>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Internal audit</w:t>
            </w:r>
          </w:p>
        </w:tc>
        <w:tc>
          <w:tcPr>
            <w:tcW w:type="dxa" w:w="289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404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pPr>
        <w:spacing w:after="120"/>
      </w:pPr>
      <w:r>
        <w:t xml:space="preserve">Attach or reference the committee charters. The wiki gives starting charters with purpose, authority, chair, members, quorum, frequency, inputs, outputs and conflicts rules.</w:t>
      </w:r>
    </w:p>
    <w:p>
      <w:pPr>
        <w:spacing w:after="160"/>
      </w:pPr>
      <w:r>
        <w:rPr>
          <w:b/>
          <w:bCs/>
          <w:color w:val="595959"/>
          <w:sz w:val="16"/>
          <w:szCs w:val="16"/>
        </w:rPr>
        <w:t xml:space="preserve">Source: </w:t>
      </w:r>
      <w:r>
        <w:rPr>
          <w:color w:val="595959"/>
          <w:sz w:val="16"/>
          <w:szCs w:val="16"/>
        </w:rPr>
        <w:t xml:space="preserve">AI Governance Operating Model (Governance Bodies; Committee Charters).</w:t>
      </w:r>
    </w:p>
    <w:p>
      <w:pPr>
        <w:pStyle w:val="Heading1"/>
      </w:pPr>
      <w:r>
        <w:t xml:space="preserve">4. Decision rights</w:t>
      </w:r>
    </w:p>
    <w:p>
      <w:pPr>
        <w:spacing w:after="120"/>
      </w:pPr>
      <w:r>
        <w:t xml:space="preserve">Name exactly one approver for each decision. Start from the wiki table and rename roles to match the organization.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77"/>
        <w:gridCol w:w="2120"/>
        <w:gridCol w:w="2120"/>
        <w:gridCol w:w="2121"/>
      </w:tblGrid>
      <w:tr>
        <w:trPr>
          <w:cantSplit/>
          <w:tblHeader/>
        </w:trPr>
        <w:tc>
          <w:tcPr>
            <w:tcW w:type="dxa" w:w="3277"/>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Decision</w:t>
            </w:r>
          </w:p>
        </w:tc>
        <w:tc>
          <w:tcPr>
            <w:tcW w:type="dxa" w:w="2120"/>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Recommends</w:t>
            </w:r>
          </w:p>
        </w:tc>
        <w:tc>
          <w:tcPr>
            <w:tcW w:type="dxa" w:w="2120"/>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Approves</w:t>
            </w:r>
          </w:p>
        </w:tc>
        <w:tc>
          <w:tcPr>
            <w:tcW w:type="dxa" w:w="2121"/>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Escalates to</w:t>
            </w:r>
          </w:p>
        </w:tc>
      </w:tr>
      <w:tr>
        <w:trPr>
          <w:cantSplit/>
          <w:tblHeader w:val="false"/>
        </w:trPr>
        <w:tc>
          <w:tcPr>
            <w:tcW w:type="dxa" w:w="327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AI risk appetite and criteria</w:t>
            </w:r>
          </w:p>
        </w:tc>
        <w:tc>
          <w:tcPr>
            <w:tcW w:type="dxa" w:w="212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12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12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27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Prohibited and always-high-risk categories</w:t>
            </w:r>
          </w:p>
        </w:tc>
        <w:tc>
          <w:tcPr>
            <w:tcW w:type="dxa" w:w="212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12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12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27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AI policy</w:t>
            </w:r>
          </w:p>
        </w:tc>
        <w:tc>
          <w:tcPr>
            <w:tcW w:type="dxa" w:w="212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12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12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27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New use case, Low or Medium tier</w:t>
            </w:r>
          </w:p>
        </w:tc>
        <w:tc>
          <w:tcPr>
            <w:tcW w:type="dxa" w:w="212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12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12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27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New use case, High tier</w:t>
            </w:r>
          </w:p>
        </w:tc>
        <w:tc>
          <w:tcPr>
            <w:tcW w:type="dxa" w:w="212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12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12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27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Model approved for general use</w:t>
            </w:r>
          </w:p>
        </w:tc>
        <w:tc>
          <w:tcPr>
            <w:tcW w:type="dxa" w:w="212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12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12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27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Agent permissions and tool grants</w:t>
            </w:r>
          </w:p>
        </w:tc>
        <w:tc>
          <w:tcPr>
            <w:tcW w:type="dxa" w:w="212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12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12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27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Release of an AI application or agent</w:t>
            </w:r>
          </w:p>
        </w:tc>
        <w:tc>
          <w:tcPr>
            <w:tcW w:type="dxa" w:w="212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12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12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27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Acceptance of residual risk</w:t>
            </w:r>
          </w:p>
        </w:tc>
        <w:tc>
          <w:tcPr>
            <w:tcW w:type="dxa" w:w="212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12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12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27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Exception to a policy or control</w:t>
            </w:r>
          </w:p>
        </w:tc>
        <w:tc>
          <w:tcPr>
            <w:tcW w:type="dxa" w:w="212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12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12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27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Stopping an AI system in an incident</w:t>
            </w:r>
          </w:p>
        </w:tc>
        <w:tc>
          <w:tcPr>
            <w:tcW w:type="dxa" w:w="212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12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12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27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Notification to a regulator</w:t>
            </w:r>
          </w:p>
        </w:tc>
        <w:tc>
          <w:tcPr>
            <w:tcW w:type="dxa" w:w="212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12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12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27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Retirement of an AI system</w:t>
            </w:r>
          </w:p>
        </w:tc>
        <w:tc>
          <w:tcPr>
            <w:tcW w:type="dxa" w:w="212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12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12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pPr>
        <w:spacing w:after="160"/>
      </w:pPr>
      <w:r>
        <w:rPr>
          <w:b/>
          <w:bCs/>
          <w:color w:val="595959"/>
          <w:sz w:val="16"/>
          <w:szCs w:val="16"/>
        </w:rPr>
        <w:t xml:space="preserve">Source: </w:t>
      </w:r>
      <w:r>
        <w:rPr>
          <w:color w:val="595959"/>
          <w:sz w:val="16"/>
          <w:szCs w:val="16"/>
        </w:rPr>
        <w:t xml:space="preserve">AI Governance Operating Model (Decision Rights).</w:t>
      </w:r>
    </w:p>
    <w:p>
      <w:pPr>
        <w:pStyle w:val="Heading1"/>
      </w:pPr>
      <w:r>
        <w:t xml:space="preserve">5. Policy and standards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73"/>
        <w:gridCol w:w="6265"/>
      </w:tblGrid>
      <w:tr>
        <w:trPr>
          <w:cantSplit/>
          <w:tblHeader/>
        </w:trPr>
        <w:tc>
          <w:tcPr>
            <w:tcW w:type="dxa" w:w="3373"/>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Field</w:t>
            </w:r>
          </w:p>
        </w:tc>
        <w:tc>
          <w:tcPr>
            <w:tcW w:type="dxa" w:w="6265"/>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Entry</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AI policy (title, version, approval date)</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Acceptable use rules</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Domain standards adopted (browser AI, coding assistants, custom applications, agents, predictive models, sovereignty)</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Control baseline adopted (wiki Baseline tier, Advanced tier, or own selection)</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pPr>
        <w:spacing w:after="160"/>
      </w:pPr>
      <w:r>
        <w:rPr>
          <w:b/>
          <w:bCs/>
          <w:color w:val="595959"/>
          <w:sz w:val="16"/>
          <w:szCs w:val="16"/>
        </w:rPr>
        <w:t xml:space="preserve">Source: </w:t>
      </w:r>
      <w:r>
        <w:rPr>
          <w:color w:val="595959"/>
          <w:sz w:val="16"/>
          <w:szCs w:val="16"/>
        </w:rPr>
        <w:t xml:space="preserve">AI Policy, Standards and Acceptable Use; Domain Standards; Control Tiers.</w:t>
      </w:r>
    </w:p>
    <w:p>
      <w:pPr>
        <w:pStyle w:val="Heading1"/>
      </w:pPr>
      <w:r>
        <w:t xml:space="preserve">6. Risk management method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73"/>
        <w:gridCol w:w="6265"/>
      </w:tblGrid>
      <w:tr>
        <w:trPr>
          <w:cantSplit/>
          <w:tblHeader/>
        </w:trPr>
        <w:tc>
          <w:tcPr>
            <w:tcW w:type="dxa" w:w="3373"/>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Field</w:t>
            </w:r>
          </w:p>
        </w:tc>
        <w:tc>
          <w:tcPr>
            <w:tcW w:type="dxa" w:w="6265"/>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Entry</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Risk method (wiki default: likelihood 1 to 4 x impact 1 to 4, rating bands, overrides)</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Use-case intake and tiering form</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Risk register location and owner</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Assessor calibration (wiki default: before the first cycle and annually, on the worked examples)</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When risks are quantified instead (for example FAIR)</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pPr>
        <w:spacing w:after="160"/>
      </w:pPr>
      <w:r>
        <w:rPr>
          <w:b/>
          <w:bCs/>
          <w:color w:val="595959"/>
          <w:sz w:val="16"/>
          <w:szCs w:val="16"/>
        </w:rPr>
        <w:t xml:space="preserve">Source: </w:t>
      </w:r>
      <w:r>
        <w:rPr>
          <w:color w:val="595959"/>
          <w:sz w:val="16"/>
          <w:szCs w:val="16"/>
        </w:rPr>
        <w:t xml:space="preserve">AI Risk Methodology (Scoring Method; Worked Calibration Examples; When to Quantify); AI Risk Register Template (.xlsx).</w:t>
      </w:r>
    </w:p>
    <w:p>
      <w:pPr>
        <w:pStyle w:val="Heading1"/>
      </w:pPr>
      <w:r>
        <w:t xml:space="preserve">7. Operating defaults</w:t>
      </w:r>
    </w:p>
    <w:p>
      <w:pPr>
        <w:spacing w:after="120"/>
      </w:pPr>
      <w:r>
        <w:t xml:space="preserve">Record the values the programme will use. The wiki's defaults are shown in brackets as examples only.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397"/>
        <w:gridCol w:w="2506"/>
        <w:gridCol w:w="1735"/>
      </w:tblGrid>
      <w:tr>
        <w:trPr>
          <w:cantSplit/>
          <w:tblHeader/>
        </w:trPr>
        <w:tc>
          <w:tcPr>
            <w:tcW w:type="dxa" w:w="5397"/>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Item</w:t>
            </w:r>
          </w:p>
        </w:tc>
        <w:tc>
          <w:tcPr>
            <w:tcW w:type="dxa" w:w="2506"/>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Value adopted</w:t>
            </w:r>
          </w:p>
        </w:tc>
        <w:tc>
          <w:tcPr>
            <w:tcW w:type="dxa" w:w="1735"/>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Approved by</w:t>
            </w:r>
          </w:p>
        </w:tc>
      </w:tr>
      <w:tr>
        <w:trPr>
          <w:cantSplit/>
          <w:tblHeader w:val="false"/>
        </w:trPr>
        <w:tc>
          <w:tcPr>
            <w:tcW w:type="dxa" w:w="53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Longest exception by rating </w:t>
            </w:r>
            <w:r>
              <w:rPr>
                <w:b w:val="false"/>
                <w:bCs w:val="false"/>
                <w:sz w:val="19"/>
                <w:szCs w:val="19"/>
                <w:highlight w:val="yellow"/>
              </w:rPr>
              <w:t xml:space="preserve">[Low 6, Medium 6, High 3, Critical 1 month]</w:t>
            </w:r>
          </w:p>
        </w:tc>
        <w:tc>
          <w:tcPr>
            <w:tcW w:type="dxa" w:w="250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53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Longest risk acceptance by rating </w:t>
            </w:r>
            <w:r>
              <w:rPr>
                <w:b w:val="false"/>
                <w:bCs w:val="false"/>
                <w:sz w:val="19"/>
                <w:szCs w:val="19"/>
                <w:highlight w:val="yellow"/>
              </w:rPr>
              <w:t xml:space="preserve">[12, 12, 6, 3 months]</w:t>
            </w:r>
          </w:p>
        </w:tc>
        <w:tc>
          <w:tcPr>
            <w:tcW w:type="dxa" w:w="250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53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Incident severity levels and response times </w:t>
            </w:r>
            <w:r>
              <w:rPr>
                <w:b w:val="false"/>
                <w:bCs w:val="false"/>
                <w:sz w:val="19"/>
                <w:szCs w:val="19"/>
                <w:highlight w:val="yellow"/>
              </w:rPr>
              <w:t xml:space="preserve">[SEV 1 acknowledge 15 min, contain 4 h; SEV 2 1 h, 24 h]</w:t>
            </w:r>
          </w:p>
        </w:tc>
        <w:tc>
          <w:tcPr>
            <w:tcW w:type="dxa" w:w="250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53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Regulatory and contractual notification deadlines (from the law or contract, per jurisdiction)</w:t>
            </w:r>
          </w:p>
        </w:tc>
        <w:tc>
          <w:tcPr>
            <w:tcW w:type="dxa" w:w="250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53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Monitoring thresholds (attach the agreed list)</w:t>
            </w:r>
          </w:p>
        </w:tc>
        <w:tc>
          <w:tcPr>
            <w:tcW w:type="dxa" w:w="250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53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CI/CD stages that block a release (attach the agreed list)</w:t>
            </w:r>
          </w:p>
        </w:tc>
        <w:tc>
          <w:tcPr>
            <w:tcW w:type="dxa" w:w="250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539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Log retention periods (attach the agreed list)</w:t>
            </w:r>
          </w:p>
        </w:tc>
        <w:tc>
          <w:tcPr>
            <w:tcW w:type="dxa" w:w="250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pPr>
        <w:spacing w:after="160"/>
      </w:pPr>
      <w:r>
        <w:rPr>
          <w:b/>
          <w:bCs/>
          <w:color w:val="595959"/>
          <w:sz w:val="16"/>
          <w:szCs w:val="16"/>
        </w:rPr>
        <w:t xml:space="preserve">Source: </w:t>
      </w:r>
      <w:r>
        <w:rPr>
          <w:color w:val="595959"/>
          <w:sz w:val="16"/>
          <w:szCs w:val="16"/>
        </w:rPr>
        <w:t xml:space="preserve">AI Operating Defaults.</w:t>
      </w:r>
    </w:p>
    <w:p>
      <w:pPr>
        <w:pStyle w:val="Heading1"/>
      </w:pPr>
      <w:r>
        <w:t xml:space="preserve">8. Assurance: testing, monitoring and audit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73"/>
        <w:gridCol w:w="6265"/>
      </w:tblGrid>
      <w:tr>
        <w:trPr>
          <w:cantSplit/>
          <w:tblHeader/>
        </w:trPr>
        <w:tc>
          <w:tcPr>
            <w:tcW w:type="dxa" w:w="3373"/>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Field</w:t>
            </w:r>
          </w:p>
        </w:tc>
        <w:tc>
          <w:tcPr>
            <w:tcW w:type="dxa" w:w="6265"/>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Entry</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Test approach and the validation level the programme requires before relying on a result (wiki levels: Documented, Executable, Lab-validated, Independently reproduced)</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Adversarial testing cadence</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Monitoring and SOC integration</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Internal audit plan and checklist</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Evidence repository</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pPr>
        <w:spacing w:after="160"/>
      </w:pPr>
      <w:r>
        <w:rPr>
          <w:b/>
          <w:bCs/>
          <w:color w:val="595959"/>
          <w:sz w:val="16"/>
          <w:szCs w:val="16"/>
        </w:rPr>
        <w:t xml:space="preserve">Source: </w:t>
      </w:r>
      <w:r>
        <w:rPr>
          <w:color w:val="595959"/>
          <w:sz w:val="16"/>
          <w:szCs w:val="16"/>
        </w:rPr>
        <w:t xml:space="preserve">Test Case Library (Validation levels); AI Security Audit and Evidence Checklist; AI Operating Defaults (Review and Audit Calendar).</w:t>
      </w:r>
    </w:p>
    <w:p>
      <w:pPr>
        <w:pStyle w:val="Heading1"/>
      </w:pPr>
      <w:r>
        <w:t xml:space="preserve">9. Regulatory obligations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8"/>
        <w:gridCol w:w="3470"/>
        <w:gridCol w:w="1928"/>
        <w:gridCol w:w="2312"/>
      </w:tblGrid>
      <w:tr>
        <w:trPr>
          <w:cantSplit/>
          <w:tblHeader/>
        </w:trPr>
        <w:tc>
          <w:tcPr>
            <w:tcW w:type="dxa" w:w="1928"/>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Jurisdiction</w:t>
            </w:r>
          </w:p>
        </w:tc>
        <w:tc>
          <w:tcPr>
            <w:tcW w:type="dxa" w:w="3470"/>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Instruments that apply</w:t>
            </w:r>
          </w:p>
        </w:tc>
        <w:tc>
          <w:tcPr>
            <w:tcW w:type="dxa" w:w="1928"/>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Obligation owner</w:t>
            </w:r>
          </w:p>
        </w:tc>
        <w:tc>
          <w:tcPr>
            <w:tcW w:type="dxa" w:w="2312"/>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Verification status in the wiki</w:t>
            </w:r>
          </w:p>
        </w:tc>
      </w:tr>
      <w:tr>
        <w:trPr>
          <w:cantSplit/>
          <w:tblHeader w:val="false"/>
        </w:trPr>
        <w:tc>
          <w:tcPr>
            <w:tcW w:type="dxa" w:w="192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347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92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31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192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347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92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31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192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347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92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31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pPr>
        <w:spacing w:after="120"/>
      </w:pPr>
      <w:r>
        <w:rPr>
          <w:i/>
          <w:iCs/>
          <w:color w:val="595959"/>
          <w:sz w:val="18"/>
          <w:szCs w:val="18"/>
        </w:rPr>
        <w:t xml:space="preserve">Check each obligation against the primary legal text before relying on it. The wiki tags its regional claims </w:t>
      </w:r>
      <w:r>
        <w:rPr>
          <w:i/>
          <w:iCs/>
          <w:color w:val="595959"/>
          <w:sz w:val="18"/>
          <w:szCs w:val="18"/>
          <w:highlight w:val="yellow"/>
        </w:rPr>
        <w:t xml:space="preserve">[Verified]</w:t>
      </w:r>
      <w:r>
        <w:rPr>
          <w:i/>
          <w:iCs/>
          <w:color w:val="595959"/>
          <w:sz w:val="18"/>
          <w:szCs w:val="18"/>
        </w:rPr>
        <w:t xml:space="preserve">, </w:t>
      </w:r>
      <w:r>
        <w:rPr>
          <w:i/>
          <w:iCs/>
          <w:color w:val="595959"/>
          <w:sz w:val="18"/>
          <w:szCs w:val="18"/>
          <w:highlight w:val="yellow"/>
        </w:rPr>
        <w:t xml:space="preserve">[Reported]</w:t>
      </w:r>
      <w:r>
        <w:rPr>
          <w:i/>
          <w:iCs/>
          <w:color w:val="595959"/>
          <w:sz w:val="18"/>
          <w:szCs w:val="18"/>
        </w:rPr>
        <w:t xml:space="preserve">, </w:t>
      </w:r>
      <w:r>
        <w:rPr>
          <w:i/>
          <w:iCs/>
          <w:color w:val="595959"/>
          <w:sz w:val="18"/>
          <w:szCs w:val="18"/>
          <w:highlight w:val="yellow"/>
        </w:rPr>
        <w:t xml:space="preserve">[Recalled]</w:t>
      </w:r>
      <w:r>
        <w:rPr>
          <w:i/>
          <w:iCs/>
          <w:color w:val="595959"/>
          <w:sz w:val="18"/>
          <w:szCs w:val="18"/>
        </w:rPr>
        <w:t xml:space="preserve">, </w:t>
      </w:r>
      <w:r>
        <w:rPr>
          <w:i/>
          <w:iCs/>
          <w:color w:val="595959"/>
          <w:sz w:val="18"/>
          <w:szCs w:val="18"/>
          <w:highlight w:val="yellow"/>
        </w:rPr>
        <w:t xml:space="preserve">[Unverified]</w:t>
      </w:r>
      <w:r>
        <w:rPr>
          <w:i/>
          <w:iCs/>
          <w:color w:val="595959"/>
          <w:sz w:val="18"/>
          <w:szCs w:val="18"/>
        </w:rPr>
        <w:t xml:space="preserve"> or </w:t>
      </w:r>
      <w:r>
        <w:rPr>
          <w:i/>
          <w:iCs/>
          <w:color w:val="595959"/>
          <w:sz w:val="18"/>
          <w:szCs w:val="18"/>
          <w:highlight w:val="yellow"/>
        </w:rPr>
        <w:t xml:space="preserve">[Conflict]</w:t>
      </w:r>
      <w:r>
        <w:rPr>
          <w:i/>
          <w:iCs/>
          <w:color w:val="595959"/>
          <w:sz w:val="18"/>
          <w:szCs w:val="18"/>
        </w:rPr>
        <w:t xml:space="preserve">.</w:t>
      </w:r>
    </w:p>
    <w:p>
      <w:pPr>
        <w:spacing w:after="160"/>
      </w:pPr>
      <w:r>
        <w:rPr>
          <w:b/>
          <w:bCs/>
          <w:color w:val="595959"/>
          <w:sz w:val="16"/>
          <w:szCs w:val="16"/>
        </w:rPr>
        <w:t xml:space="preserve">Source: </w:t>
      </w:r>
      <w:r>
        <w:rPr>
          <w:color w:val="595959"/>
          <w:sz w:val="16"/>
          <w:szCs w:val="16"/>
        </w:rPr>
        <w:t xml:space="preserve">Regulatory Verification Status; the Regulatory Crosswalk page of each regional section.</w:t>
      </w:r>
    </w:p>
    <w:p>
      <w:pPr>
        <w:pStyle w:val="Heading1"/>
      </w:pPr>
      <w:r>
        <w:t xml:space="preserve">10. Training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73"/>
        <w:gridCol w:w="6265"/>
      </w:tblGrid>
      <w:tr>
        <w:trPr>
          <w:cantSplit/>
          <w:tblHeader/>
        </w:trPr>
        <w:tc>
          <w:tcPr>
            <w:tcW w:type="dxa" w:w="3373"/>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Field</w:t>
            </w:r>
          </w:p>
        </w:tc>
        <w:tc>
          <w:tcPr>
            <w:tcW w:type="dxa" w:w="6265"/>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Entry</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Role groups and what each needs</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Schedule (joining, annual, on change)</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How effectiveness is checked</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pPr>
        <w:spacing w:after="160"/>
      </w:pPr>
      <w:r>
        <w:rPr>
          <w:b/>
          <w:bCs/>
          <w:color w:val="595959"/>
          <w:sz w:val="16"/>
          <w:szCs w:val="16"/>
        </w:rPr>
        <w:t xml:space="preserve">Source: </w:t>
      </w:r>
      <w:r>
        <w:rPr>
          <w:color w:val="595959"/>
          <w:sz w:val="16"/>
          <w:szCs w:val="16"/>
        </w:rPr>
        <w:t xml:space="preserve">AI Governance Operating Model (Role-Based Training Plan); AI-CTRL-044.</w:t>
      </w:r>
    </w:p>
    <w:p>
      <w:pPr>
        <w:pStyle w:val="Heading1"/>
      </w:pPr>
      <w:r>
        <w:t xml:space="preserve">11. Reporting and metrics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73"/>
        <w:gridCol w:w="6265"/>
      </w:tblGrid>
      <w:tr>
        <w:trPr>
          <w:cantSplit/>
          <w:tblHeader/>
        </w:trPr>
        <w:tc>
          <w:tcPr>
            <w:tcW w:type="dxa" w:w="3373"/>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Field</w:t>
            </w:r>
          </w:p>
        </w:tc>
        <w:tc>
          <w:tcPr>
            <w:tcW w:type="dxa" w:w="6265"/>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Entry</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Report to the governing body (content and frequency; wiki default: quarterly)</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Report to the AI Governance Committee (monthly)</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Metrics tracked</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pPr>
        <w:spacing w:after="160"/>
      </w:pPr>
      <w:r>
        <w:rPr>
          <w:b/>
          <w:bCs/>
          <w:color w:val="595959"/>
          <w:sz w:val="16"/>
          <w:szCs w:val="16"/>
        </w:rPr>
        <w:t xml:space="preserve">Source: </w:t>
      </w:r>
      <w:r>
        <w:rPr>
          <w:color w:val="595959"/>
          <w:sz w:val="16"/>
          <w:szCs w:val="16"/>
        </w:rPr>
        <w:t xml:space="preserve">AI Governance Operating Model (Board-Level Reporting; Continuous Governance Metrics).</w:t>
      </w:r>
    </w:p>
    <w:p>
      <w:pPr>
        <w:pStyle w:val="Heading1"/>
      </w:pPr>
      <w:r>
        <w:t xml:space="preserve">12. Roadmap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433"/>
        <w:gridCol w:w="1928"/>
        <w:gridCol w:w="1542"/>
        <w:gridCol w:w="1735"/>
      </w:tblGrid>
      <w:tr>
        <w:trPr>
          <w:cantSplit/>
          <w:tblHeader/>
        </w:trPr>
        <w:tc>
          <w:tcPr>
            <w:tcW w:type="dxa" w:w="4433"/>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Milestone</w:t>
            </w:r>
          </w:p>
        </w:tc>
        <w:tc>
          <w:tcPr>
            <w:tcW w:type="dxa" w:w="1928"/>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Owner</w:t>
            </w:r>
          </w:p>
        </w:tc>
        <w:tc>
          <w:tcPr>
            <w:tcW w:type="dxa" w:w="1542"/>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Target date</w:t>
            </w:r>
          </w:p>
        </w:tc>
        <w:tc>
          <w:tcPr>
            <w:tcW w:type="dxa" w:w="1735"/>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Status</w:t>
            </w:r>
          </w:p>
        </w:tc>
      </w:tr>
      <w:tr>
        <w:trPr>
          <w:cantSplit/>
          <w:tblHeader w:val="false"/>
        </w:trPr>
        <w:tc>
          <w:tcPr>
            <w:tcW w:type="dxa" w:w="4433"/>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92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4433"/>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92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4433"/>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92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4433"/>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92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4433"/>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92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pPr>
        <w:spacing w:after="160"/>
      </w:pPr>
      <w:r>
        <w:rPr>
          <w:b/>
          <w:bCs/>
          <w:color w:val="595959"/>
          <w:sz w:val="16"/>
          <w:szCs w:val="16"/>
        </w:rPr>
        <w:t xml:space="preserve">Source: </w:t>
      </w:r>
      <w:r>
        <w:rPr>
          <w:color w:val="595959"/>
          <w:sz w:val="16"/>
          <w:szCs w:val="16"/>
        </w:rPr>
        <w:t xml:space="preserve">Maturity Model and Roadmap (Foundations).</w:t>
      </w:r>
    </w:p>
    <w:p>
      <w:pPr>
        <w:pStyle w:val="Heading1"/>
      </w:pPr>
      <w:r>
        <w:t xml:space="preserve">13. Approval and review</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73"/>
        <w:gridCol w:w="6265"/>
      </w:tblGrid>
      <w:tr>
        <w:trPr>
          <w:cantSplit/>
          <w:tblHeader/>
        </w:trPr>
        <w:tc>
          <w:tcPr>
            <w:tcW w:type="dxa" w:w="3373"/>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Field</w:t>
            </w:r>
          </w:p>
        </w:tc>
        <w:tc>
          <w:tcPr>
            <w:tcW w:type="dxa" w:w="6265"/>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Entry</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Approved by</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Date</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Next review (at least annually)</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Changes since the last version</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r>
        <w:br w:type="page"/>
      </w:r>
    </w:p>
    <w:p>
      <w:pPr>
        <w:pStyle w:val="Heading1"/>
      </w:pPr>
      <w:r>
        <w:t xml:space="preserve">Sources in the AI Security Wiki</w:t>
      </w:r>
    </w:p>
    <w:p>
      <w:pPr>
        <w:spacing w:after="60"/>
      </w:pPr>
      <w:hyperlink w:history="1" r:id="rId3edfzq-gt9p1aqwvlk7o2">
        <w:r>
          <w:rPr>
            <w:rStyle w:val="Hyperlink"/>
          </w:rPr>
          <w:t xml:space="preserve">AI Governance Operating Model</w:t>
        </w:r>
      </w:hyperlink>
    </w:p>
    <w:p>
      <w:pPr>
        <w:spacing w:after="60"/>
      </w:pPr>
      <w:hyperlink w:history="1" r:id="rIdsjecp-mz1isehwc2rzhtw">
        <w:r>
          <w:rPr>
            <w:rStyle w:val="Hyperlink"/>
          </w:rPr>
          <w:t xml:space="preserve">AI Policy, Standards and Acceptable Use</w:t>
        </w:r>
      </w:hyperlink>
    </w:p>
    <w:p>
      <w:pPr>
        <w:spacing w:after="60"/>
      </w:pPr>
      <w:hyperlink w:history="1" r:id="rIdgu2vwngkgdcybo8rn7ybu">
        <w:r>
          <w:rPr>
            <w:rStyle w:val="Hyperlink"/>
          </w:rPr>
          <w:t xml:space="preserve">AI Operating Defaults</w:t>
        </w:r>
      </w:hyperlink>
    </w:p>
    <w:p>
      <w:pPr>
        <w:spacing w:after="60"/>
      </w:pPr>
      <w:hyperlink w:history="1" r:id="rIdi2ikywagp4lhux6yzrowg">
        <w:r>
          <w:rPr>
            <w:rStyle w:val="Hyperlink"/>
          </w:rPr>
          <w:t xml:space="preserve">AI Risk Methodology</w:t>
        </w:r>
      </w:hyperlink>
    </w:p>
    <w:p>
      <w:pPr>
        <w:spacing w:after="60"/>
      </w:pPr>
      <w:hyperlink w:history="1" r:id="rIdbktten7ou9ieztz6zzjaz">
        <w:r>
          <w:rPr>
            <w:rStyle w:val="Hyperlink"/>
          </w:rPr>
          <w:t xml:space="preserve">Test Case Library: validation levels</w:t>
        </w:r>
      </w:hyperlink>
    </w:p>
    <w:p>
      <w:pPr>
        <w:spacing w:after="60"/>
      </w:pPr>
      <w:hyperlink w:history="1" r:id="rIdlozwbykan0q995kopbxoy">
        <w:r>
          <w:rPr>
            <w:rStyle w:val="Hyperlink"/>
          </w:rPr>
          <w:t xml:space="preserve">Regulatory Verification Status</w:t>
        </w:r>
      </w:hyperlink>
    </w:p>
    <w:p>
      <w:pPr>
        <w:spacing w:after="60"/>
      </w:pPr>
      <w:hyperlink w:history="1" r:id="rIdmuce3ifwfvldupv2prked">
        <w:r>
          <w:rPr>
            <w:rStyle w:val="Hyperlink"/>
          </w:rPr>
          <w:t xml:space="preserve">Maturity Model and Roadmap</w:t>
        </w:r>
      </w:hyperlink>
    </w:p>
    <w:p>
      <w:pPr>
        <w:pStyle w:val="Heading1"/>
      </w:pPr>
      <w:r>
        <w:t xml:space="preserve">Licence and credit</w:t>
      </w:r>
    </w:p>
    <w:p>
      <w:pPr>
        <w:spacing w:after="120"/>
      </w:pPr>
      <w:r>
        <w:t xml:space="preserve">AI Security Programme Charter (this template) Copyright (c) 2026 Nachiket Sathaye. It is licensed under the Creative Commons Attribution-ShareAlike 4.0 International License (CC BY-SA 4.0).</w:t>
      </w:r>
    </w:p>
    <w:p>
      <w:pPr>
        <w:spacing w:after="60"/>
      </w:pPr>
      <w:hyperlink w:history="1" r:id="rIdv2xjxmnxqjbtj7mxw7clz">
        <w:r>
          <w:rPr>
            <w:rStyle w:val="Hyperlink"/>
          </w:rPr>
          <w:t xml:space="preserve">License summary: https://creativecommons.org/licenses/by-sa/4.0/</w:t>
        </w:r>
      </w:hyperlink>
    </w:p>
    <w:p>
      <w:pPr>
        <w:spacing w:after="60"/>
      </w:pPr>
      <w:hyperlink w:history="1" r:id="rIdei1vpipwcbfpny656enmq">
        <w:r>
          <w:rPr>
            <w:rStyle w:val="Hyperlink"/>
          </w:rPr>
          <w:t xml:space="preserve">Full legal code: https://creativecommons.org/licenses/by-sa/4.0/legalcode.en</w:t>
        </w:r>
      </w:hyperlink>
    </w:p>
    <w:p>
      <w:pPr>
        <w:spacing w:after="60"/>
      </w:pPr>
      <w:hyperlink w:history="1" r:id="rIdn2brronuhvseto1znotnu">
        <w:r>
          <w:rPr>
            <w:rStyle w:val="Hyperlink"/>
          </w:rPr>
          <w:t xml:space="preserve">Source: https://nachi065.github.io/AI-Security-Wiki/</w:t>
        </w:r>
      </w:hyperlink>
    </w:p>
    <w:p>
      <w:pPr>
        <w:spacing w:after="60"/>
      </w:pPr>
      <w:hyperlink w:history="1" r:id="rIdwv5nkxadrqec9vkl6jwk0">
        <w:r>
          <w:rPr>
            <w:rStyle w:val="Hyperlink"/>
          </w:rPr>
          <w:t xml:space="preserve">Repository: https://github.com/nachi065/AI-Security-Wiki</w:t>
        </w:r>
      </w:hyperlink>
    </w:p>
    <w:p>
      <w:pPr>
        <w:pStyle w:val="Heading3"/>
      </w:pPr>
      <w:r>
        <w:t xml:space="preserve">How to credit this work</w:t>
      </w:r>
    </w:p>
    <w:p>
      <w:pPr>
        <w:spacing w:after="120"/>
      </w:pPr>
      <w:r>
        <w:t xml:space="preserve">"AI Security Programme Charter" by Nachiket Sathaye, AI Security Wiki (https://nachi065.github.io/AI-Security-Wiki/), licensed under CC BY-SA 4.0 (https://creativecommons.org/licenses/by-sa/4.0/).</w:t>
      </w:r>
    </w:p>
    <w:p>
      <w:pPr>
        <w:spacing w:after="120"/>
      </w:pPr>
      <w:r>
        <w:t xml:space="preserve">If you change it, say so and keep earlier change notes, for example: "Adapted from AI Security Programme Charter by Nachiket Sathaye (https://nachi065.github.io/AI-Security-Wiki/), CC BY-SA 4.0. Changes: filled in for our organization." Keep this licence section, the copyright notice and the third-party credits when you share the template or a document made from it.</w:t>
      </w:r>
    </w:p>
    <w:p>
      <w:pPr>
        <w:pStyle w:val="Heading3"/>
      </w:pPr>
      <w:r>
        <w:t xml:space="preserve">ShareAlike</w:t>
      </w:r>
    </w:p>
    <w:p>
      <w:pPr>
        <w:spacing w:after="120"/>
      </w:pPr>
      <w:r>
        <w:t xml:space="preserve">If you remix, transform or build on this template and share the result, you must license your contributions under CC BY-SA 4.0, a later version of CC BY-SA, or a BY-SA Compatible License listed by Creative Commons at https://creativecommons.org/compatiblelicenses. You may not add terms, or apply technical measures such as DRM, that stop others from doing what the license allows.</w:t>
      </w:r>
    </w:p>
    <w:p>
      <w:pPr>
        <w:pStyle w:val="Heading3"/>
      </w:pPr>
      <w:r>
        <w:t xml:space="preserve">Disclaimer</w:t>
      </w:r>
    </w:p>
    <w:p>
      <w:pPr>
        <w:spacing w:after="120"/>
      </w:pPr>
      <w:r>
        <w:t xml:space="preserve">The template is offered as-is, without warranties of any kind, and the licensor is not liable for its use, as set out in Section 5 of the license. It is not legal, audit or professional advice. Its framework and regulatory references are the wiki's own and should be checked against each source.</w:t>
      </w:r>
    </w:p>
    <w:p>
      <w:pPr>
        <w:pStyle w:val="Heading3"/>
      </w:pPr>
      <w:r>
        <w:t xml:space="preserve">Third-party material</w:t>
      </w:r>
    </w:p>
    <w:p>
      <w:pPr>
        <w:spacing w:after="120"/>
      </w:pPr>
      <w:r>
        <w:t xml:space="preserve">Framework names, identifiers and short item titles (for example ISO/IEC, NIST, OWASP and laws and regulations) are cited for reference only. They belong to their owners and are not licensed by this notice. The license does not grant trademark rights (Section 2(b)(2)). To use this template under other terms, contact the author through https://github.com/nachi065/AI-Security-Wiki.</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95959"/>
        <w:sz w:val="16"/>
        <w:szCs w:val="16"/>
      </w:rPr>
      <w:t xml:space="preserve">AI Security Programme Charter. Template Copyright (c) 2026 Nachiket Sathaye, CC BY-SA 4.0.  Page </w:t>
    </w:r>
    <w:r>
      <w:rPr>
        <w:color w:val="595959"/>
        <w:sz w:val="16"/>
        <w:szCs w:val="16"/>
      </w:rPr>
      <w:fldChar w:fldCharType="begin"/>
      <w:instrText xml:space="preserve">PAGE</w:instrText>
      <w:fldChar w:fldCharType="separate"/>
      <w:fldChar w:fldCharType="end"/>
    </w:r>
    <w:r>
      <w:rPr>
        <w:color w:val="595959"/>
        <w:sz w:val="16"/>
        <w:szCs w:val="16"/>
      </w:rPr>
      <w:t xml:space="preserve"> of </w:t>
    </w:r>
    <w:r>
      <w:rPr>
        <w:color w:val="59595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95959"/>
        <w:sz w:val="16"/>
        <w:szCs w:val="16"/>
      </w:rPr>
      <w:t xml:space="preserve">[Organization name]  |  AI Security Programme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abstractNum w:abstractNumId="5" w15:restartNumberingAfterBreak="0">
    <w:multiLevelType w:val="hybridMultilevel"/>
    <w:lvl w:ilvl="0" w15:tentative="1">
      <w:start w:val="1"/>
      <w:numFmt w:val="decimal"/>
      <w:lvlText w:val="%1."/>
      <w:lvlJc w:val="left"/>
      <w:pPr>
        <w:ind w:left="720" w:hanging="360"/>
      </w:pPr>
    </w:lvl>
  </w:abstractNum>
  <w:abstractNum w:abstractNumId="6" w15:restartNumberingAfterBreak="0">
    <w:multiLevelType w:val="hybridMultilevel"/>
    <w:lvl w:ilvl="0" w15:tentative="1">
      <w:start w:val="1"/>
      <w:numFmt w:val="decimal"/>
      <w:lvlText w:val="%1."/>
      <w:lvlJc w:val="left"/>
      <w:pPr>
        <w:ind w:left="720" w:hanging="360"/>
      </w:pPr>
    </w:lvl>
  </w:abstractNum>
  <w:abstractNum w:abstractNumId="7" w15:restartNumberingAfterBreak="0">
    <w:multiLevelType w:val="hybridMultilevel"/>
    <w:lvl w:ilvl="0" w15:tentative="1">
      <w:start w:val="1"/>
      <w:numFmt w:val="decimal"/>
      <w:lvlText w:val="%1."/>
      <w:lvlJc w:val="left"/>
      <w:pPr>
        <w:ind w:left="720" w:hanging="360"/>
      </w:pPr>
    </w:lvl>
  </w:abstractNum>
  <w:abstractNum w:abstractNumId="8"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Arial" w:cs="Arial" w:eastAsia="Arial" w:hAnsi="Arial"/>
      <w:b/>
      <w:bCs/>
      <w:color w:val="1F3864"/>
      <w:sz w:val="32"/>
      <w:szCs w:val="32"/>
    </w:rPr>
  </w:style>
  <w:style w:type="paragraph" w:styleId="Heading2">
    <w:name w:val="Heading 2"/>
    <w:basedOn w:val="Normal"/>
    <w:next w:val="Normal"/>
    <w:qFormat/>
    <w:pPr>
      <w:spacing w:after="120" w:before="240"/>
      <w:outlineLvl w:val="1"/>
    </w:pPr>
    <w:rPr>
      <w:rFonts w:ascii="Arial" w:cs="Arial" w:eastAsia="Arial" w:hAnsi="Arial"/>
      <w:b/>
      <w:bCs/>
      <w:color w:val="2F5597"/>
      <w:sz w:val="26"/>
      <w:szCs w:val="26"/>
    </w:rPr>
  </w:style>
  <w:style w:type="paragraph" w:styleId="Heading3">
    <w:name w:val="Heading 3"/>
    <w:basedOn w:val="Normal"/>
    <w:next w:val="Normal"/>
    <w:qFormat/>
    <w:pPr>
      <w:spacing w:after="80" w:before="200"/>
      <w:outlineLvl w:val="2"/>
    </w:pPr>
    <w:rPr>
      <w:rFonts w:ascii="Arial" w:cs="Arial" w:eastAsia="Arial" w:hAnsi="Arial"/>
      <w:b/>
      <w:bCs/>
      <w:color w:val="40404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3edfzq-gt9p1aqwvlk7o2" Type="http://schemas.openxmlformats.org/officeDocument/2006/relationships/hyperlink" Target="https://nachi065.github.io/AI-Security-Wiki/08_Governance/16_AI_Governance_Operating_Model.html" TargetMode="External"/><Relationship Id="rIdsjecp-mz1isehwc2rzhtw" Type="http://schemas.openxmlformats.org/officeDocument/2006/relationships/hyperlink" Target="https://nachi065.github.io/AI-Security-Wiki/08_Governance/17_AI_Policy_Standards_and_Acceptable_Use.html" TargetMode="External"/><Relationship Id="rIdgu2vwngkgdcybo8rn7ybu" Type="http://schemas.openxmlformats.org/officeDocument/2006/relationships/hyperlink" Target="https://nachi065.github.io/AI-Security-Wiki/08_Governance/18_AI_Operating_Defaults.html" TargetMode="External"/><Relationship Id="rIdi2ikywagp4lhux6yzrowg" Type="http://schemas.openxmlformats.org/officeDocument/2006/relationships/hyperlink" Target="https://nachi065.github.io/AI-Security-Wiki/02_Risk_Management/02A_AI_Risk_Methodology.html" TargetMode="External"/><Relationship Id="rIdbktten7ou9ieztz6zzjaz" Type="http://schemas.openxmlformats.org/officeDocument/2006/relationships/hyperlink" Target="https://nachi065.github.io/AI-Security-Wiki/10_Test_Case_Library/index.html#validation-levels" TargetMode="External"/><Relationship Id="rIdlozwbykan0q995kopbxoy" Type="http://schemas.openxmlformats.org/officeDocument/2006/relationships/hyperlink" Target="https://nachi065.github.io/AI-Security-Wiki/09_Reference/21_Regulatory_Verification_Status.html" TargetMode="External"/><Relationship Id="rIdmuce3ifwfvldupv2prked" Type="http://schemas.openxmlformats.org/officeDocument/2006/relationships/hyperlink" Target="https://nachi065.github.io/AI-Security-Wiki/00_Foundations/11-Maturity-Model-and-Roadmap.html" TargetMode="External"/><Relationship Id="rIdv2xjxmnxqjbtj7mxw7clz" Type="http://schemas.openxmlformats.org/officeDocument/2006/relationships/hyperlink" Target="https://creativecommons.org/licenses/by-sa/4.0/" TargetMode="External"/><Relationship Id="rIdei1vpipwcbfpny656enmq" Type="http://schemas.openxmlformats.org/officeDocument/2006/relationships/hyperlink" Target="https://creativecommons.org/licenses/by-sa/4.0/legalcode.en" TargetMode="External"/><Relationship Id="rIdn2brronuhvseto1znotnu" Type="http://schemas.openxmlformats.org/officeDocument/2006/relationships/hyperlink" Target="https://nachi065.github.io/AI-Security-Wiki/" TargetMode="External"/><Relationship Id="rIdwv5nkxadrqec9vkl6jwk0" Type="http://schemas.openxmlformats.org/officeDocument/2006/relationships/hyperlink" Target="https://github.com/nachi065/AI-Security-Wiki" TargetMode="External"/><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Security Programme Charter</dc:title>
  <dc:subject>AI security and governance programme charter template built from the AI Security Wiki</dc:subject>
  <dc:creator>Nachiket Sathaye</dc:creator>
  <cp:keywords>AI governance; programme charter; decision rights; risk appetite; CC BY-SA 4.0</cp:keywords>
  <dc:description>Copyright (c) 2026 Nachiket Sathaye. Licensed under CC BY-SA 4.0: https://creativecommons.org/licenses/by-sa/4.0/. Source: https://nachi065.github.io/AI-Security-Wiki/</dc:description>
  <cp:lastModifiedBy>Nachiket Sathaye</cp:lastModifiedBy>
  <cp:revision>1</cp:revision>
  <dcterms:created xsi:type="dcterms:W3CDTF">2026-10-22T16:48:48.199Z</dcterms:created>
  <dcterms:modified xsi:type="dcterms:W3CDTF">2026-10-22T16:48:48.199Z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CC BY-SA 4.0</vt:lpwstr>
  </property>
  <property fmtid="{D5CDD505-2E9C-101B-9397-08002B2CF9AE}" pid="3" name="License URL">
    <vt:lpwstr>https://creativecommons.org/licenses/by-sa/4.0/</vt:lpwstr>
  </property>
  <property fmtid="{D5CDD505-2E9C-101B-9397-08002B2CF9AE}" pid="4" name="Copyright">
    <vt:lpwstr>Copyright (c) 2026 Nachiket Sathaye</vt:lpwstr>
  </property>
  <property fmtid="{D5CDD505-2E9C-101B-9397-08002B2CF9AE}" pid="5" name="Source">
    <vt:lpwstr>https://nachi065.github.io/AI-Security-Wiki/</vt:lpwstr>
  </property>
</Properties>
</file>