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800"/>
      </w:pPr>
    </w:p>
    <w:p>
      <w:pPr>
        <w:spacing w:after="200"/>
      </w:pPr>
      <w:r>
        <w:rPr>
          <w:color w:val="595959"/>
          <w:sz w:val="28"/>
          <w:szCs w:val="28"/>
          <w:highlight w:val="yellow"/>
        </w:rPr>
        <w:t xml:space="preserve">[Organization name]</w:t>
      </w:r>
    </w:p>
    <w:p>
      <w:pPr>
        <w:spacing w:after="200"/>
      </w:pPr>
      <w:r>
        <w:rPr>
          <w:b/>
          <w:bCs/>
          <w:color w:val="1F3864"/>
          <w:sz w:val="56"/>
          <w:szCs w:val="56"/>
        </w:rPr>
        <w:t xml:space="preserve">AI Impact Assessment</w:t>
      </w:r>
    </w:p>
    <w:p>
      <w:pPr>
        <w:spacing w:after="600"/>
      </w:pPr>
      <w:r>
        <w:rPr>
          <w:color w:val="2F5597"/>
          <w:sz w:val="26"/>
          <w:szCs w:val="26"/>
        </w:rPr>
        <w:t xml:space="preserve">Combined data protection and fundamental rights impact assessment for an AI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Document control</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Document owner</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Approved by</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[Name, role or committee]</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Approval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Effective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date</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[YYYY-MM-DD]</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Version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[1.0]</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Classification</w:t>
            </w:r>
          </w:p>
        </w:tc>
        <w:tc>
          <w:tcPr>
            <w:tcW w:type="dxa" w:w="626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[Internal]</w:t>
            </w:r>
          </w:p>
        </w:tc>
      </w:tr>
    </w:tbl>
    <w:p>
      <w:pPr>
        <w:spacing w:after="120"/>
      </w:pPr>
    </w:p>
    <w:p>
      <w:pPr>
        <w:spacing w:before="400"/>
      </w:pPr>
      <w:r>
        <w:rPr>
          <w:color w:val="595959"/>
          <w:sz w:val="16"/>
          <w:szCs w:val="16"/>
        </w:rPr>
        <w:t xml:space="preserve">Assessment template built from the AI Security Wiki (https://nachi065.github.io/AI-Security-Wiki/), template version 1.0, 17 October 2026.</w:t>
      </w:r>
    </w:p>
    <w:p>
      <w:r>
        <w:rPr>
          <w:color w:val="595959"/>
          <w:sz w:val="16"/>
          <w:szCs w:val="16"/>
        </w:rPr>
        <w:t xml:space="preserve">Copyright (c) 2026 Nachiket Sathaye. Licensed under CC BY-SA 4.0 (https://creativecommons.org/licenses/by-sa/4.0/). See "Licence and credit" at the end.</w:t>
      </w:r>
    </w:p>
    <w:p>
      <w:r>
        <w:br w:type="pag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55A11" w:sz="12"/>
              <w:left w:val="single" w:color="C55A11" w:sz="12"/>
              <w:bottom w:val="single" w:color="C55A11" w:sz="12"/>
              <w:right w:val="single" w:color="C55A11" w:sz="12"/>
            </w:tcBorders>
            <w:shd w:fill="FFF4E5" w:color="auto" w:val="clear"/>
            <w:tcMar>
              <w:top w:type="dxa" w:w="120"/>
              <w:left w:type="dxa" w:w="160"/>
              <w:bottom w:type="dxa" w:w="120"/>
              <w:right w:type="dxa" w:w="160"/>
            </w:tcMar>
          </w:tcPr>
          <w:p>
            <w:pPr>
              <w:spacing w:after="80"/>
            </w:pPr>
            <w:r>
              <w:rPr>
                <w:b/>
                <w:bCs/>
                <w:color w:val="C55A11"/>
              </w:rPr>
              <w:t xml:space="preserve">How to use this template (delete this box when you complete it)</w:t>
            </w:r>
          </w:p>
          <w:p>
            <w:pPr>
              <w:spacing w:after="60"/>
            </w:pPr>
            <w:r>
              <w:rPr>
                <w:sz w:val="19"/>
                <w:szCs w:val="19"/>
              </w:rPr>
              <w:t xml:space="preserve">Complete one assessment per AI system or use case, before go-live, and reassess on material change and at least annually (wiki AI-CTRL-042).</w:t>
            </w:r>
          </w:p>
          <w:p>
            <w:pPr>
              <w:spacing w:after="60"/>
            </w:pPr>
            <w:r>
              <w:rPr>
                <w:sz w:val="19"/>
                <w:szCs w:val="19"/>
              </w:rPr>
              <w:t xml:space="preserve">When it is needed: the wiki AI Use-Case Risk Triage says any Yes to C1 (decisions about individuals), C3 (critical infrastructure or safety) or C4 (regulated process), or a Yes to both B2 (personal data) and C2 (customer or public facing), should trigger a full impact assessment before go-live. These are the wiki's thresholds; ISO/IEC 42005:2025 clause 5.7 asks you to set your own and record the version you use.</w:t>
            </w:r>
          </w:p>
          <w:p>
            <w:pPr>
              <w:spacing w:after="60"/>
            </w:pPr>
            <w:r>
              <w:rPr>
                <w:sz w:val="19"/>
                <w:szCs w:val="19"/>
              </w:rPr>
              <w:t xml:space="preserve">This combined form is a convenience and does not replace any assessment the law requires, such as a GDPR Art. 35 DPIA or an EU AI Act Art. 27 FRIA. The wiki marks those citations as recalled or reported: confirm which legal duties apply and consult your data protection officer (DPO).</w:t>
            </w:r>
          </w:p>
          <w:p>
            <w:pPr>
              <w:spacing w:after="60"/>
            </w:pPr>
            <w:r>
              <w:rPr>
                <w:sz w:val="19"/>
                <w:szCs w:val="19"/>
              </w:rPr>
              <w:t xml:space="preserve">Sections marked </w:t>
            </w:r>
            <w:r>
              <w:rPr>
                <w:sz w:val="19"/>
                <w:szCs w:val="19"/>
                <w:highlight w:val="yellow"/>
              </w:rPr>
              <w:t xml:space="preserve">[EU]</w:t>
            </w:r>
            <w:r>
              <w:rPr>
                <w:sz w:val="19"/>
                <w:szCs w:val="19"/>
              </w:rPr>
              <w:t xml:space="preserve"> or </w:t>
            </w:r>
            <w:r>
              <w:rPr>
                <w:sz w:val="19"/>
                <w:szCs w:val="19"/>
                <w:highlight w:val="yellow"/>
              </w:rPr>
              <w:t xml:space="preserve">[GCC]</w:t>
            </w:r>
            <w:r>
              <w:rPr>
                <w:sz w:val="19"/>
                <w:szCs w:val="19"/>
              </w:rPr>
              <w:t xml:space="preserve"> come from the wiki's regional forms. Delete the ones that do not apply.</w:t>
            </w:r>
          </w:p>
          <w:p>
            <w:pPr>
              <w:spacing w:after="60"/>
            </w:pPr>
            <w:r>
              <w:rPr>
                <w:sz w:val="19"/>
                <w:szCs w:val="19"/>
              </w:rPr>
              <w:t xml:space="preserve">Replace every </w:t>
            </w:r>
            <w:r>
              <w:rPr>
                <w:sz w:val="19"/>
                <w:szCs w:val="19"/>
                <w:highlight w:val="yellow"/>
              </w:rPr>
              <w:t xml:space="preserve">[highlighted placeholder]</w:t>
            </w:r>
            <w:r>
              <w:rPr>
                <w:sz w:val="19"/>
                <w:szCs w:val="19"/>
              </w:rPr>
              <w:t xml:space="preserve">. Each section ends with its source in the wiki. This is not legal advice.</w:t>
            </w:r>
          </w:p>
        </w:tc>
      </w:tr>
    </w:tbl>
    <w:p>
      <w:pPr>
        <w:spacing w:after="160"/>
      </w:pPr>
    </w:p>
    <w:p>
      <w:pPr>
        <w:spacing w:after="120"/>
      </w:pPr>
      <w:r>
        <w:rPr>
          <w:b/>
          <w:bCs/>
          <w:color w:val="1F3864"/>
          <w:sz w:val="28"/>
          <w:szCs w:val="28"/>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rPr>
          <w:i/>
          <w:iCs/>
          <w:color w:val="595959"/>
          <w:sz w:val="16"/>
          <w:szCs w:val="16"/>
        </w:rPr>
        <w:t xml:space="preserve">If the contents list is empty, right-click it and choose Update Field (Word fills it when the document opens).</w:t>
      </w:r>
    </w:p>
    <w:p>
      <w:r>
        <w:br w:type="page"/>
      </w:r>
    </w:p>
    <w:p>
      <w:pPr>
        <w:pStyle w:val="Heading1"/>
      </w:pPr>
      <w:r>
        <w:t xml:space="preserve">1. Summary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Use-case or system ID (from the intake, triage or inventory record)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System name and version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Assessor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Jurisdictions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Trigger: new / change / periodic</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Triage result and questions answered Yes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Risk tier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DPIA required? (record the reason)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FRIA required? </w:t>
            </w:r>
            <w:r>
              <w:rPr>
                <w:b/>
                <w:bCs/>
                <w:sz w:val="19"/>
                <w:szCs w:val="19"/>
                <w:highlight w:val="yellow"/>
              </w:rPr>
              <w:t xml:space="preserve">[EU]</w:t>
            </w:r>
            <w:r>
              <w:rPr>
                <w:b/>
                <w:bCs/>
                <w:sz w:val="19"/>
                <w:szCs w:val="19"/>
              </w:rPr>
              <w:t xml:space="preserve"> (record the reason)</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Other assessments required (sector or regional)</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Related records: risk register entries, bias test, residency or transfer record</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1; EU T02 section 1; AI Use-Case Risk Triage.</w:t>
      </w:r>
    </w:p>
    <w:p>
      <w:pPr>
        <w:pStyle w:val="Heading1"/>
      </w:pPr>
      <w:r>
        <w:t xml:space="preserve">2. Description of the AI system and its use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cantSplit/>
          <w:tblHeader/>
        </w:trPr>
        <w:tc>
          <w:tcPr>
            <w:tcW w:type="dxa" w:w="366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597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Purpose and legitimate aim</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Context of use: where, how and by whom it is used</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Period and frequency of use</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Intended uses</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Reasonably foreseeable unintended uses and misuse</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Categories of persons affected</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categories, special categories, children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quality and provenance, including training data origin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Data flow with countries (attach a diagram)</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Deployment environment: regions, languages and constraints</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Recipients, vendors, suppliers and sub-processors</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Retention and deletion (including prompts, outputs, logs, indexes and memory)</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Model: type, provider, version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662"/>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Human oversight design</w:t>
            </w:r>
          </w:p>
        </w:tc>
        <w:tc>
          <w:tcPr>
            <w:tcW w:type="dxa" w:w="597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2; EU T02 section 2; AI-CTRL-042 and the ISO/IEC 42005 clause 6.3, 6.4 and 6.6 rows of the wiki ISO/IEC AI Standards Crosswalk (intended and unintended uses, data quality, regions and languages).</w:t>
      </w:r>
    </w:p>
    <w:p>
      <w:pPr>
        <w:pStyle w:val="Heading1"/>
      </w:pPr>
      <w:r>
        <w:t xml:space="preserve">3. Expected benefits</w:t>
      </w:r>
    </w:p>
    <w:p>
      <w:pPr>
        <w:spacing w:after="120"/>
      </w:pPr>
      <w:r>
        <w:t xml:space="preserve">Record the benefit as well as the harms, so the decision in section 11 weighs both.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2120"/>
        <w:gridCol w:w="2506"/>
        <w:gridCol w:w="1735"/>
      </w:tblGrid>
      <w:tr>
        <w:trPr>
          <w:cantSplit/>
          <w:tblHeader/>
        </w:trPr>
        <w:tc>
          <w:tcPr>
            <w:tcW w:type="dxa" w:w="327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Benefit</w:t>
            </w:r>
          </w:p>
        </w:tc>
        <w:tc>
          <w:tcPr>
            <w:tcW w:type="dxa" w:w="212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Who benefits</w:t>
            </w:r>
          </w:p>
        </w:tc>
        <w:tc>
          <w:tcPr>
            <w:tcW w:type="dxa" w:w="250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How it will be measured</w:t>
            </w:r>
          </w:p>
        </w:tc>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Baseline or target</w:t>
            </w:r>
          </w:p>
        </w:tc>
      </w:tr>
      <w:tr>
        <w:trPr>
          <w:cantSplit/>
          <w:tblHeader w:val="false"/>
        </w:trPr>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ISO/IEC AI Standards Crosswalk, ISO/IEC 42005 section: the wiki notes a gap that its impact assessment templates focus on harms while clause 6.8.2 asks for benefits as well. This section closes that gap.</w:t>
      </w:r>
    </w:p>
    <w:p>
      <w:pPr>
        <w:pStyle w:val="Heading1"/>
      </w:pPr>
      <w:r>
        <w:t xml:space="preserve">4. Lawful basis, necessity and proportionality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2602"/>
        <w:gridCol w:w="2603"/>
      </w:tblGrid>
      <w:tr>
        <w:trPr>
          <w:cantSplit/>
          <w:tblHeader/>
        </w:trPr>
        <w:tc>
          <w:tcPr>
            <w:tcW w:type="dxa" w:w="443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Question</w:t>
            </w:r>
          </w:p>
        </w:tc>
        <w:tc>
          <w:tcPr>
            <w:tcW w:type="dxa" w:w="260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Answer</w:t>
            </w:r>
          </w:p>
        </w:tc>
        <w:tc>
          <w:tcPr>
            <w:tcW w:type="dxa" w:w="260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Evidence</w:t>
            </w: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Lawful basis identified for each purpose, including training</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Is consent used? If so, is it specific, informed and withdrawable?</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Special category condition, if such data is used</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Is each data element necessary? Could the aim be met with less or anonymised data?</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Is data reused for training? On what basis?</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[EU]</w:t>
            </w:r>
            <w:r>
              <w:rPr>
                <w:b w:val="false"/>
                <w:bCs w:val="false"/>
                <w:sz w:val="19"/>
                <w:szCs w:val="19"/>
              </w:rPr>
              <w:t xml:space="preserve"> Automated decision rules (GDPR Art. 22) satisfied?</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[EU]</w:t>
            </w:r>
            <w:r>
              <w:rPr>
                <w:b w:val="false"/>
                <w:bCs w:val="false"/>
                <w:sz w:val="19"/>
                <w:szCs w:val="19"/>
              </w:rPr>
              <w:t xml:space="preserve"> Legitimate interest balancing test (if used)</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3; EU T02 section 3.</w:t>
      </w:r>
    </w:p>
    <w:p>
      <w:pPr>
        <w:pStyle w:val="Heading1"/>
      </w:pPr>
      <w:r>
        <w:t xml:space="preserve">5. Rights and transparency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3277"/>
        <w:gridCol w:w="2506"/>
      </w:tblGrid>
      <w:tr>
        <w:trPr>
          <w:cantSplit/>
          <w:tblHeader/>
        </w:trPr>
        <w:tc>
          <w:tcPr>
            <w:tcW w:type="dxa" w:w="385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Right or duty</w:t>
            </w:r>
          </w:p>
        </w:tc>
        <w:tc>
          <w:tcPr>
            <w:tcW w:type="dxa" w:w="327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How supported</w:t>
            </w:r>
          </w:p>
        </w:tc>
        <w:tc>
          <w:tcPr>
            <w:tcW w:type="dxa" w:w="250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Gap</w:t>
            </w: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Information notice (</w:t>
            </w:r>
            <w:r>
              <w:rPr>
                <w:b w:val="false"/>
                <w:bCs w:val="false"/>
                <w:sz w:val="19"/>
                <w:szCs w:val="19"/>
                <w:highlight w:val="yellow"/>
              </w:rPr>
              <w:t xml:space="preserve">[GCC]</w:t>
            </w:r>
            <w:r>
              <w:rPr>
                <w:b w:val="false"/>
                <w:bCs w:val="false"/>
                <w:sz w:val="19"/>
                <w:szCs w:val="19"/>
              </w:rPr>
              <w:t xml:space="preserve"> Arabic and English; </w:t>
            </w:r>
            <w:r>
              <w:rPr>
                <w:b w:val="false"/>
                <w:bCs w:val="false"/>
                <w:sz w:val="19"/>
                <w:szCs w:val="19"/>
                <w:highlight w:val="yellow"/>
              </w:rPr>
              <w:t xml:space="preserve">[EU]</w:t>
            </w:r>
            <w:r>
              <w:rPr>
                <w:b w:val="false"/>
                <w:bCs w:val="false"/>
                <w:sz w:val="19"/>
                <w:szCs w:val="19"/>
              </w:rPr>
              <w:t xml:space="preserve"> transparency notice)</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Access</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Correction</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Deletion</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Objection</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Human review of an automated decision</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Explanation of an individual decision</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85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Complaint route</w:t>
            </w:r>
          </w:p>
        </w:tc>
        <w:tc>
          <w:tcPr>
            <w:tcW w:type="dxa" w:w="327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4; EU T02 section 4.</w:t>
      </w:r>
    </w:p>
    <w:p>
      <w:pPr>
        <w:pStyle w:val="Heading1"/>
      </w:pPr>
      <w:r>
        <w:t xml:space="preserve">6. Transfers and residency</w:t>
      </w:r>
    </w:p>
    <w:p>
      <w:pPr>
        <w:spacing w:after="120"/>
      </w:pPr>
      <w:r>
        <w:t xml:space="preserve">Attach the data residency attestation or data location and transfer record. For each cross-border flow, state the transfer mechanism and the legal view (in the EU, the transfer impact 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99"/>
        <w:gridCol w:w="1542"/>
        <w:gridCol w:w="1542"/>
        <w:gridCol w:w="1928"/>
        <w:gridCol w:w="1927"/>
      </w:tblGrid>
      <w:tr>
        <w:trPr>
          <w:cantSplit/>
          <w:tblHeader/>
        </w:trPr>
        <w:tc>
          <w:tcPr>
            <w:tcW w:type="dxa" w:w="269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Data flow</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From</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To (country)</w:t>
            </w:r>
          </w:p>
        </w:tc>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Mechanism</w:t>
            </w:r>
          </w:p>
        </w:tc>
        <w:tc>
          <w:tcPr>
            <w:tcW w:type="dxa" w:w="192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Legal view</w:t>
            </w:r>
          </w:p>
        </w:tc>
      </w:tr>
      <w:tr>
        <w:trPr>
          <w:cantSplit/>
          <w:tblHeader w:val="false"/>
        </w:trPr>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92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5 (T04 Data Residency Attestation); EU T02 section 7 (T04 Data Location and Transfer Record); AI-CTRL-007.</w:t>
      </w:r>
    </w:p>
    <w:p>
      <w:pPr>
        <w:pStyle w:val="Heading1"/>
      </w:pPr>
      <w:r>
        <w:t xml:space="preserve">7. Impacts on people</w:t>
      </w:r>
    </w:p>
    <w:p>
      <w:pPr>
        <w:pStyle w:val="Heading2"/>
      </w:pPr>
      <w:r>
        <w:t xml:space="preserve">7.1 Risks to individuals</w:t>
      </w:r>
    </w:p>
    <w:p>
      <w:pPr>
        <w:spacing w:after="120"/>
      </w:pPr>
      <w:r>
        <w:t xml:space="preserve">Score likelihood and impact from 1 to 4, and score = likelihood x impact. </w:t>
      </w:r>
      <w:r>
        <w:rPr>
          <w:highlight w:val="yellow"/>
        </w:rPr>
        <w:t xml:space="preserve">[Use the same scales and bands as your AI risk register.]</w:t>
      </w:r>
      <w:r>
        <w:t xml:space="preserve"> Every risk needs a mitigation.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2"/>
        <w:gridCol w:w="2795"/>
        <w:gridCol w:w="1060"/>
        <w:gridCol w:w="964"/>
        <w:gridCol w:w="771"/>
        <w:gridCol w:w="2410"/>
        <w:gridCol w:w="1156"/>
      </w:tblGrid>
      <w:tr>
        <w:trPr>
          <w:cantSplit/>
          <w:tblHeader/>
        </w:trPr>
        <w:tc>
          <w:tcPr>
            <w:tcW w:type="dxa" w:w="48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w:t>
            </w:r>
          </w:p>
        </w:tc>
        <w:tc>
          <w:tcPr>
            <w:tcW w:type="dxa" w:w="279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Risk to individuals</w:t>
            </w:r>
          </w:p>
        </w:tc>
        <w:tc>
          <w:tcPr>
            <w:tcW w:type="dxa" w:w="106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Likelihood (1-4)</w:t>
            </w:r>
          </w:p>
        </w:tc>
        <w:tc>
          <w:tcPr>
            <w:tcW w:type="dxa" w:w="96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Impact (1-4)</w:t>
            </w:r>
          </w:p>
        </w:tc>
        <w:tc>
          <w:tcPr>
            <w:tcW w:type="dxa" w:w="77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Score</w:t>
            </w:r>
          </w:p>
        </w:tc>
        <w:tc>
          <w:tcPr>
            <w:tcW w:type="dxa" w:w="241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Mitigation</w:t>
            </w:r>
          </w:p>
        </w:tc>
        <w:tc>
          <w:tcPr>
            <w:tcW w:type="dxa" w:w="115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Residual</w:t>
            </w: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1</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Unfair outcome for a group</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Bias test and threshold (section 8)</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2</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Wrong output relied on</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Human review, confidence display</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3</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Unauthorised disclosure via prompts or outputs</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Redaction, access control</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4</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Re-identification</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5</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Lack of explanation</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Explanation record</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6</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Harmful or culturally inappropriate content</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Safety tests in the languages of use</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7</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Loss of availability</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r>
              <w:rPr>
                <w:b w:val="false"/>
                <w:bCs w:val="false"/>
                <w:sz w:val="19"/>
                <w:szCs w:val="19"/>
              </w:rPr>
              <w:t xml:space="preserve">Fallback process</w:t>
            </w: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8</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Harm from a reasonably foreseeable misuse (section 2)</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82"/>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9</w:t>
            </w:r>
          </w:p>
        </w:tc>
        <w:tc>
          <w:tcPr>
            <w:tcW w:type="dxa" w:w="2795"/>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[Other]</w:t>
            </w:r>
          </w:p>
        </w:tc>
        <w:tc>
          <w:tcPr>
            <w:tcW w:type="dxa" w:w="106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771"/>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41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6 (rows 1 to 7); row 8 follows the ISO/IEC 42005 clause 6.8 row of the ISO/IEC AI Standards Crosswalk (failures and misuse). AI-CTRL-042 audit test: each risk maps to a mitigation.</w:t>
      </w:r>
    </w:p>
    <w:p>
      <w:pPr>
        <w:pStyle w:val="Heading2"/>
      </w:pPr>
      <w:r>
        <w:t xml:space="preserve">7.2 Fundamental rights analysis [EU, or as good practice]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1638"/>
        <w:gridCol w:w="1349"/>
        <w:gridCol w:w="964"/>
        <w:gridCol w:w="964"/>
        <w:gridCol w:w="1638"/>
        <w:gridCol w:w="1157"/>
      </w:tblGrid>
      <w:tr>
        <w:trPr>
          <w:cantSplit/>
          <w:tblHeader/>
        </w:trPr>
        <w:tc>
          <w:tcPr>
            <w:tcW w:type="dxa" w:w="192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Right</w:t>
            </w:r>
          </w:p>
        </w:tc>
        <w:tc>
          <w:tcPr>
            <w:tcW w:type="dxa" w:w="163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Possible impact</w:t>
            </w:r>
          </w:p>
        </w:tc>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Affected groups</w:t>
            </w:r>
          </w:p>
        </w:tc>
        <w:tc>
          <w:tcPr>
            <w:tcW w:type="dxa" w:w="96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Likelihood</w:t>
            </w:r>
          </w:p>
        </w:tc>
        <w:tc>
          <w:tcPr>
            <w:tcW w:type="dxa" w:w="96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Severity</w:t>
            </w:r>
          </w:p>
        </w:tc>
        <w:tc>
          <w:tcPr>
            <w:tcW w:type="dxa" w:w="163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Mitigation</w:t>
            </w:r>
          </w:p>
        </w:tc>
        <w:tc>
          <w:tcPr>
            <w:tcW w:type="dxa" w:w="1157"/>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Residual</w:t>
            </w: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Non-discrimination</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Privacy and data protection</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Human dignity</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Freedom of expression and information</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Access to essential services (credit, insurance, education, work)</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Effective remedy</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Rights of the child</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1928"/>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Other</w:t>
            </w: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638"/>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157"/>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EU T02 section 5.</w:t>
      </w:r>
    </w:p>
    <w:p>
      <w:pPr>
        <w:pStyle w:val="Heading1"/>
      </w:pPr>
      <w:r>
        <w:t xml:space="preserve">8. Fairness and explainability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48"/>
        <w:gridCol w:w="5590"/>
      </w:tblGrid>
      <w:tr>
        <w:trPr>
          <w:cantSplit/>
          <w:tblHeader/>
        </w:trPr>
        <w:tc>
          <w:tcPr>
            <w:tcW w:type="dxa" w:w="4048"/>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559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Is this a high-impact decision? How was that decided?</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Affected groups considered (identified with legal input)</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Bias test reference: method, data, thresholds, results, approval</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If sensitive data is used for testing: why it is necessary, and the safeguards</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What happens if a threshold fails (release blocked or conditioned)</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Explanation method and where the person sees it</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Route to human review of a decision</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048"/>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Bias profile reference and validated application boundaries</w:t>
            </w:r>
          </w:p>
        </w:tc>
        <w:tc>
          <w:tcPr>
            <w:tcW w:type="dxa" w:w="559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7; AI-CTRL-041 (high-impact decisions, groups, bias testing, explanations, human review, bias profile).</w:t>
      </w:r>
    </w:p>
    <w:p>
      <w:pPr>
        <w:pStyle w:val="Heading1"/>
      </w:pPr>
      <w:r>
        <w:t xml:space="preserve">9. Oversight, security and safeguards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Human oversight points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Who can stop the system and how (kill switch, AI-CTRL-025)</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Security measures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Logging</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Monitoring and drift checks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Incident route (incident and breach notification workflow)</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8; EU T02 section 6; AI-CTRL-025.</w:t>
      </w:r>
    </w:p>
    <w:p>
      <w:pPr>
        <w:pStyle w:val="Heading1"/>
      </w:pPr>
      <w:r>
        <w:t xml:space="preserve">10. Interested parties and consultation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542"/>
        <w:gridCol w:w="2699"/>
        <w:gridCol w:w="2506"/>
      </w:tblGrid>
      <w:tr>
        <w:trPr>
          <w:cantSplit/>
          <w:tblHeader/>
        </w:trPr>
        <w:tc>
          <w:tcPr>
            <w:tcW w:type="dxa" w:w="2891"/>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Party</w:t>
            </w:r>
          </w:p>
        </w:tc>
        <w:tc>
          <w:tcPr>
            <w:tcW w:type="dxa" w:w="154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Consulted? Date</w:t>
            </w:r>
          </w:p>
        </w:tc>
        <w:tc>
          <w:tcPr>
            <w:tcW w:type="dxa" w:w="269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Views</w:t>
            </w:r>
          </w:p>
        </w:tc>
        <w:tc>
          <w:tcPr>
            <w:tcW w:type="dxa" w:w="2506"/>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How handled</w:t>
            </w: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Data protection officer (record the advice verbatim)</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Security</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Legal</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Affected business unit</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Affected persons or their representatives</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2891"/>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[EU]</w:t>
            </w:r>
            <w:r>
              <w:rPr>
                <w:b w:val="false"/>
                <w:bCs w:val="false"/>
                <w:sz w:val="19"/>
                <w:szCs w:val="19"/>
              </w:rPr>
              <w:t xml:space="preserve"> Workers' representatives, if this is a workplace system</w:t>
            </w:r>
          </w:p>
        </w:tc>
        <w:tc>
          <w:tcPr>
            <w:tcW w:type="dxa" w:w="154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9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506"/>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2602"/>
        <w:gridCol w:w="2603"/>
      </w:tblGrid>
      <w:tr>
        <w:trPr>
          <w:cantSplit/>
          <w:tblHeader/>
        </w:trPr>
        <w:tc>
          <w:tcPr>
            <w:tcW w:type="dxa" w:w="443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Question</w:t>
            </w:r>
          </w:p>
        </w:tc>
        <w:tc>
          <w:tcPr>
            <w:tcW w:type="dxa" w:w="2602"/>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Decision</w:t>
            </w:r>
          </w:p>
        </w:tc>
        <w:tc>
          <w:tcPr>
            <w:tcW w:type="dxa" w:w="260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Reference</w:t>
            </w: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rPr>
              <w:t xml:space="preserve">Is prior consultation with the data protection authority or regulator needed? Record the decision.</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4433"/>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40"/>
            </w:pPr>
            <w:r>
              <w:rPr>
                <w:b w:val="false"/>
                <w:bCs w:val="false"/>
                <w:sz w:val="19"/>
                <w:szCs w:val="19"/>
                <w:highlight w:val="yellow"/>
              </w:rPr>
              <w:t xml:space="preserve">[EU]</w:t>
            </w:r>
            <w:r>
              <w:rPr>
                <w:b w:val="false"/>
                <w:bCs w:val="false"/>
                <w:sz w:val="19"/>
                <w:szCs w:val="19"/>
              </w:rPr>
              <w:t xml:space="preserve"> Is notification to the market surveillance authority needed (FRIA)? Record the decision.</w:t>
            </w:r>
          </w:p>
        </w:tc>
        <w:tc>
          <w:tcPr>
            <w:tcW w:type="dxa" w:w="2602"/>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603"/>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9; EU T02 section 8; AI-CTRL-042 (record the DPO's advice and how it was handled); ISO/IEC 42005 clause 6.7 row (interested parties).</w:t>
      </w:r>
    </w:p>
    <w:p>
      <w:pPr>
        <w:pStyle w:val="Heading1"/>
      </w:pPr>
      <w:r>
        <w:t xml:space="preserve">11. Decision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cantSplit/>
          <w:tblHeader/>
        </w:trPr>
        <w:tc>
          <w:tcPr>
            <w:tcW w:type="dxa" w:w="3373"/>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Field</w:t>
            </w:r>
          </w:p>
        </w:tc>
        <w:tc>
          <w:tcPr>
            <w:tcW w:type="dxa" w:w="626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Entry</w:t>
            </w: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Outcome: Approve / Approve with conditions / Reject</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Benefits weighed against residual impacts (sections 3 and 7)</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Conditions</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Approver</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Approval date (must be before go-live)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Next review date (at least annually)</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3373"/>
            <w:tcBorders>
              <w:top w:val="single" w:color="BFBFBF" w:sz="4"/>
              <w:left w:val="single" w:color="BFBFBF" w:sz="4"/>
              <w:bottom w:val="single" w:color="BFBFBF" w:sz="4"/>
              <w:right w:val="single" w:color="BFBFBF" w:sz="4"/>
            </w:tcBorders>
            <w:shd w:fill="F2F2F2" w:color="auto" w:val="clear"/>
            <w:tcMar>
              <w:top w:type="dxa" w:w="60"/>
              <w:left w:type="dxa" w:w="100"/>
              <w:bottom w:type="dxa" w:w="60"/>
              <w:right w:type="dxa" w:w="100"/>
            </w:tcMar>
          </w:tcPr>
          <w:p>
            <w:pPr>
              <w:spacing w:after="40"/>
            </w:pPr>
            <w:r>
              <w:rPr>
                <w:b/>
                <w:bCs/>
                <w:sz w:val="19"/>
                <w:szCs w:val="19"/>
              </w:rPr>
              <w:t xml:space="preserve">Reassessment triggers (material change, new data, new country, new model, incident, regulator change)</w:t>
            </w:r>
          </w:p>
        </w:tc>
        <w:tc>
          <w:tcPr>
            <w:tcW w:type="dxa" w:w="626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pPr>
        <w:spacing w:after="160"/>
      </w:pPr>
      <w:r>
        <w:rPr>
          <w:b/>
          <w:bCs/>
          <w:color w:val="595959"/>
          <w:sz w:val="16"/>
          <w:szCs w:val="16"/>
        </w:rPr>
        <w:t xml:space="preserve">Source: </w:t>
      </w:r>
      <w:r>
        <w:rPr>
          <w:color w:val="595959"/>
          <w:sz w:val="16"/>
          <w:szCs w:val="16"/>
        </w:rPr>
        <w:t xml:space="preserve">GCC T02 section 10; EU T02 section 9; AI-CTRL-042 (approvals dated before go-live; reassess on material change and at least annually); GCC T01 re-tiering triggers.</w:t>
      </w:r>
    </w:p>
    <w:p>
      <w:pPr>
        <w:pStyle w:val="Heading1"/>
      </w:pPr>
      <w:r>
        <w:t xml:space="preserve">12. Review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4"/>
        <w:gridCol w:w="1349"/>
        <w:gridCol w:w="2120"/>
        <w:gridCol w:w="3470"/>
        <w:gridCol w:w="1735"/>
      </w:tblGrid>
      <w:tr>
        <w:trPr>
          <w:cantSplit/>
          <w:tblHeader/>
        </w:trPr>
        <w:tc>
          <w:tcPr>
            <w:tcW w:type="dxa" w:w="964"/>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Version</w:t>
            </w:r>
          </w:p>
        </w:tc>
        <w:tc>
          <w:tcPr>
            <w:tcW w:type="dxa" w:w="1349"/>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Date</w:t>
            </w:r>
          </w:p>
        </w:tc>
        <w:tc>
          <w:tcPr>
            <w:tcW w:type="dxa" w:w="212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Reason (new / change / periodic)</w:t>
            </w:r>
          </w:p>
        </w:tc>
        <w:tc>
          <w:tcPr>
            <w:tcW w:type="dxa" w:w="3470"/>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Summary of changes</w:t>
            </w:r>
          </w:p>
        </w:tc>
        <w:tc>
          <w:tcPr>
            <w:tcW w:type="dxa" w:w="1735"/>
            <w:tcBorders>
              <w:top w:val="single" w:color="BFBFBF" w:sz="4"/>
              <w:left w:val="single" w:color="BFBFBF" w:sz="4"/>
              <w:bottom w:val="single" w:color="BFBFBF" w:sz="4"/>
              <w:right w:val="single" w:color="BFBFBF" w:sz="4"/>
            </w:tcBorders>
            <w:shd w:fill="2F5597" w:color="auto" w:val="clear"/>
            <w:tcMar>
              <w:top w:type="dxa" w:w="60"/>
              <w:left w:type="dxa" w:w="100"/>
              <w:bottom w:type="dxa" w:w="60"/>
              <w:right w:type="dxa" w:w="100"/>
            </w:tcMar>
          </w:tcPr>
          <w:p>
            <w:pPr>
              <w:spacing w:after="40"/>
            </w:pPr>
            <w:r>
              <w:rPr>
                <w:b/>
                <w:bCs/>
                <w:color w:val="FFFFFF"/>
                <w:sz w:val="19"/>
                <w:szCs w:val="19"/>
              </w:rPr>
              <w:t xml:space="preserve">Approver</w:t>
            </w:r>
          </w:p>
        </w:tc>
      </w:tr>
      <w:tr>
        <w:trPr>
          <w:cantSplit/>
          <w:tblHeader w:val="false"/>
        </w:trPr>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r>
        <w:trPr>
          <w:cantSplit/>
          <w:tblHeader w:val="false"/>
        </w:trPr>
        <w:tc>
          <w:tcPr>
            <w:tcW w:type="dxa" w:w="964"/>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349"/>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212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3470"/>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c>
          <w:tcPr>
            <w:tcW w:type="dxa" w:w="1735"/>
            <w:tcBorders>
              <w:top w:val="single" w:color="BFBFBF" w:sz="4"/>
              <w:left w:val="single" w:color="BFBFBF" w:sz="4"/>
              <w:bottom w:val="single" w:color="BFBFBF" w:sz="4"/>
              <w:right w:val="single" w:color="BFBFBF" w:sz="4"/>
            </w:tcBorders>
            <w:shd w:fill="FFF8DC" w:color="auto" w:val="clear"/>
            <w:tcMar>
              <w:top w:type="dxa" w:w="60"/>
              <w:left w:type="dxa" w:w="100"/>
              <w:bottom w:type="dxa" w:w="60"/>
              <w:right w:type="dxa" w:w="100"/>
            </w:tcMar>
          </w:tcPr>
          <w:p>
            <w:pPr>
              <w:spacing w:after="40"/>
            </w:pPr>
          </w:p>
        </w:tc>
      </w:tr>
    </w:tbl>
    <w:p>
      <w:pPr>
        <w:spacing w:after="120"/>
      </w:pPr>
    </w:p>
    <w:p>
      <w:r>
        <w:br w:type="page"/>
      </w:r>
    </w:p>
    <w:p>
      <w:pPr>
        <w:pStyle w:val="Heading1"/>
      </w:pPr>
      <w:r>
        <w:t xml:space="preserve">Sources in the AI Security Wiki</w:t>
      </w:r>
    </w:p>
    <w:p>
      <w:pPr>
        <w:spacing w:after="60"/>
      </w:pPr>
      <w:hyperlink w:history="1" r:id="rIdtcllyg7bhu2zcubrytsbb">
        <w:r>
          <w:rPr>
            <w:rStyle w:val="Hyperlink"/>
          </w:rPr>
          <w:t xml:space="preserve">GCC T02 AI Impact Assessment</w:t>
        </w:r>
      </w:hyperlink>
    </w:p>
    <w:p>
      <w:pPr>
        <w:spacing w:after="60"/>
      </w:pPr>
      <w:hyperlink w:history="1" r:id="rIdlqwhrz7_0y9eyoksyblm6">
        <w:r>
          <w:rPr>
            <w:rStyle w:val="Hyperlink"/>
          </w:rPr>
          <w:t xml:space="preserve">EU T02 Impact Assessment (FRIA and DPIA Combined)</w:t>
        </w:r>
      </w:hyperlink>
    </w:p>
    <w:p>
      <w:pPr>
        <w:spacing w:after="60"/>
      </w:pPr>
      <w:hyperlink w:history="1" r:id="rIdsnkbpnxr-pdobpckzpy_5">
        <w:r>
          <w:rPr>
            <w:rStyle w:val="Hyperlink"/>
          </w:rPr>
          <w:t xml:space="preserve">AI Security Control Objectives Library (AI-CTRL-041, AI-CTRL-042)</w:t>
        </w:r>
      </w:hyperlink>
    </w:p>
    <w:p>
      <w:pPr>
        <w:spacing w:after="60"/>
      </w:pPr>
      <w:hyperlink w:history="1" r:id="rId6d1y2zp36wpw5nfnnxyva">
        <w:r>
          <w:rPr>
            <w:rStyle w:val="Hyperlink"/>
          </w:rPr>
          <w:t xml:space="preserve">AI Use-Case Risk Triage (when to run a full impact assessment)</w:t>
        </w:r>
      </w:hyperlink>
    </w:p>
    <w:p>
      <w:pPr>
        <w:spacing w:after="60"/>
      </w:pPr>
      <w:hyperlink w:history="1" r:id="rIdmdd1cb25hwurfhqjmldfm">
        <w:r>
          <w:rPr>
            <w:rStyle w:val="Hyperlink"/>
          </w:rPr>
          <w:t xml:space="preserve">ISO/IEC AI Standards Crosswalk (ISO/IEC 42005)</w:t>
        </w:r>
      </w:hyperlink>
    </w:p>
    <w:p>
      <w:pPr>
        <w:spacing w:after="60"/>
      </w:pPr>
      <w:hyperlink w:history="1" r:id="rIduttokgazv4cxpezye8usg">
        <w:r>
          <w:rPr>
            <w:rStyle w:val="Hyperlink"/>
          </w:rPr>
          <w:t xml:space="preserve">Proposed Control: Fundamental Rights Impact Assessment (EU)</w:t>
        </w:r>
      </w:hyperlink>
    </w:p>
    <w:p>
      <w:pPr>
        <w:spacing w:after="120"/>
      </w:pPr>
      <w:r>
        <w:rPr>
          <w:i/>
          <w:iCs/>
          <w:color w:val="595959"/>
          <w:sz w:val="18"/>
          <w:szCs w:val="18"/>
        </w:rPr>
        <w:t xml:space="preserve">The GCC and EU forms say they are working templates, not regulator-approved forms, and that their regional citations come from secondary sources or memory of the legal text and must be checked.</w:t>
      </w:r>
    </w:p>
    <w:p>
      <w:pPr>
        <w:pStyle w:val="Heading1"/>
      </w:pPr>
      <w:r>
        <w:t xml:space="preserve">Licence and credit</w:t>
      </w:r>
    </w:p>
    <w:p>
      <w:pPr>
        <w:spacing w:after="120"/>
      </w:pPr>
      <w:r>
        <w:t xml:space="preserve">AI Impact Assessment (this template) Copyright (c) 2026 Nachiket Sathaye. It is licensed under the Creative Commons Attribution-ShareAlike 4.0 International License (CC BY-SA 4.0).</w:t>
      </w:r>
    </w:p>
    <w:p>
      <w:pPr>
        <w:spacing w:after="60"/>
      </w:pPr>
      <w:hyperlink w:history="1" r:id="rId_uqcagog8bzmmjbteefln">
        <w:r>
          <w:rPr>
            <w:rStyle w:val="Hyperlink"/>
          </w:rPr>
          <w:t xml:space="preserve">License summary: https://creativecommons.org/licenses/by-sa/4.0/</w:t>
        </w:r>
      </w:hyperlink>
    </w:p>
    <w:p>
      <w:pPr>
        <w:spacing w:after="60"/>
      </w:pPr>
      <w:hyperlink w:history="1" r:id="rIdgmyaayrtgk64t652ltfn8">
        <w:r>
          <w:rPr>
            <w:rStyle w:val="Hyperlink"/>
          </w:rPr>
          <w:t xml:space="preserve">Full legal code: https://creativecommons.org/licenses/by-sa/4.0/legalcode.en</w:t>
        </w:r>
      </w:hyperlink>
    </w:p>
    <w:p>
      <w:pPr>
        <w:spacing w:after="60"/>
      </w:pPr>
      <w:hyperlink w:history="1" r:id="rIdo2joxyu1jsebjffkig23c">
        <w:r>
          <w:rPr>
            <w:rStyle w:val="Hyperlink"/>
          </w:rPr>
          <w:t xml:space="preserve">Source: https://nachi065.github.io/AI-Security-Wiki/</w:t>
        </w:r>
      </w:hyperlink>
    </w:p>
    <w:p>
      <w:pPr>
        <w:spacing w:after="60"/>
      </w:pPr>
      <w:hyperlink w:history="1" r:id="rIdw9xvbb_7yniadcyhv2q9a">
        <w:r>
          <w:rPr>
            <w:rStyle w:val="Hyperlink"/>
          </w:rPr>
          <w:t xml:space="preserve">Repository: https://github.com/nachi065/AI-Security-Wiki</w:t>
        </w:r>
      </w:hyperlink>
    </w:p>
    <w:p>
      <w:pPr>
        <w:pStyle w:val="Heading3"/>
      </w:pPr>
      <w:r>
        <w:t xml:space="preserve">How to credit this work</w:t>
      </w:r>
    </w:p>
    <w:p>
      <w:pPr>
        <w:spacing w:after="120"/>
      </w:pPr>
      <w:r>
        <w:t xml:space="preserve">"AI Impact Assessment" by Nachiket Sathaye, AI Security Wiki (https://nachi065.github.io/AI-Security-Wiki/), licensed under CC BY-SA 4.0 (https://creativecommons.org/licenses/by-sa/4.0/).</w:t>
      </w:r>
    </w:p>
    <w:p>
      <w:pPr>
        <w:spacing w:after="120"/>
      </w:pPr>
      <w:r>
        <w:t xml:space="preserve">If you change it, say so and keep earlier change notes, for example: "Adapted from AI Impact Assessment by Nachiket Sathaye (https://nachi065.github.io/AI-Security-Wiki/), CC BY-SA 4.0. Changes: filled in for our system." Keep this licence section, the copyright notice and the third-party credits when you share the template or a document made from it.</w:t>
      </w:r>
    </w:p>
    <w:p>
      <w:pPr>
        <w:pStyle w:val="Heading3"/>
      </w:pPr>
      <w:r>
        <w:t xml:space="preserve">ShareAlike</w:t>
      </w:r>
    </w:p>
    <w:p>
      <w:pPr>
        <w:spacing w:after="120"/>
      </w:pPr>
      <w:r>
        <w:t xml:space="preserve">If you remix, transform or build on this template and share the result, you must license your contributions under CC BY-SA 4.0, a later version of CC BY-SA, or a BY-SA Compatible License listed by Creative Commons at https://creativecommons.org/compatiblelicenses. You may not add terms, or apply technical measures such as DRM, that stop others from doing what the license allows.</w:t>
      </w:r>
    </w:p>
    <w:p>
      <w:pPr>
        <w:pStyle w:val="Heading3"/>
      </w:pPr>
      <w:r>
        <w:t xml:space="preserve">Disclaimer</w:t>
      </w:r>
    </w:p>
    <w:p>
      <w:pPr>
        <w:spacing w:after="120"/>
      </w:pPr>
      <w:r>
        <w:t xml:space="preserve">The template is offered as-is, without warranties of any kind, and the licensor is not liable for its use, as set out in Section 5 of the license. It is not legal, audit or professional advice. Its framework and regulatory references are the wiki's own and should be checked against each source.</w:t>
      </w:r>
    </w:p>
    <w:p>
      <w:pPr>
        <w:pStyle w:val="Heading3"/>
      </w:pPr>
      <w:r>
        <w:t xml:space="preserve">Third-party material</w:t>
      </w:r>
    </w:p>
    <w:p>
      <w:pPr>
        <w:spacing w:after="120"/>
      </w:pPr>
      <w:r>
        <w:t xml:space="preserve">Framework names, identifiers and short item titles (for example ISO/IEC, NIST, OWASP and laws and regulations) are cited for reference only. They belong to their owners and are not licensed by this notice. The license does not grant trademark rights (Section 2(b)(2)). To use this template under other terms, contact the author through https://github.com/nachi065/AI-Security-Wiki.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AI Impact Assessment. Template Copyright (c) 2026 Nachiket Sathaye, CC BY-SA 4.0.  Page </w:t>
    </w:r>
    <w:r>
      <w:rPr>
        <w:color w:val="595959"/>
        <w:sz w:val="16"/>
        <w:szCs w:val="16"/>
      </w:rPr>
      <w:fldChar w:fldCharType="begin"/>
      <w:instrText xml:space="preserve">PAGE</w:instrText>
      <w:fldChar w:fldCharType="separate"/>
      <w:fldChar w:fldCharType="end"/>
    </w:r>
    <w:r>
      <w:rPr>
        <w:color w:val="595959"/>
        <w:sz w:val="16"/>
        <w:szCs w:val="16"/>
      </w:rPr>
      <w:t xml:space="preserve"> of </w:t>
    </w:r>
    <w:r>
      <w:rPr>
        <w:color w:val="59595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95959"/>
        <w:sz w:val="16"/>
        <w:szCs w:val="16"/>
      </w:rPr>
      <w:t xml:space="preserve">[Organization name]  |  AI Impact 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abstractNum w:abstractNumId="7" w15:restartNumberingAfterBreak="0">
    <w:multiLevelType w:val="hybridMultilevel"/>
    <w:lvl w:ilvl="0" w15:tentative="1">
      <w:start w:val="1"/>
      <w:numFmt w:val="decimal"/>
      <w:lvlText w:val="%1."/>
      <w:lvlJc w:val="left"/>
      <w:pPr>
        <w:ind w:left="720" w:hanging="360"/>
      </w:pPr>
    </w:lvl>
  </w:abstractNum>
  <w:abstractNum w:abstractNumId="8"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3864"/>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F5597"/>
      <w:sz w:val="26"/>
      <w:szCs w:val="26"/>
    </w:rPr>
  </w:style>
  <w:style w:type="paragraph" w:styleId="Heading3">
    <w:name w:val="Heading 3"/>
    <w:basedOn w:val="Normal"/>
    <w:next w:val="Normal"/>
    <w:qFormat/>
    <w:pPr>
      <w:spacing w:after="80" w:before="200"/>
      <w:outlineLvl w:val="2"/>
    </w:pPr>
    <w:rPr>
      <w:rFonts w:ascii="Arial" w:cs="Arial" w:eastAsia="Arial" w:hAnsi="Arial"/>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cllyg7bhu2zcubrytsbb" Type="http://schemas.openxmlformats.org/officeDocument/2006/relationships/hyperlink" Target="https://nachi065.github.io/AI-Security-Wiki/11_GCC_AI_Compliance/T02_AI_Impact_Assessment.html" TargetMode="External"/><Relationship Id="rIdlqwhrz7_0y9eyoksyblm6" Type="http://schemas.openxmlformats.org/officeDocument/2006/relationships/hyperlink" Target="https://nachi065.github.io/AI-Security-Wiki/12_EU_AI_Compliance/T02_Impact_Assessment_FRIA_DPIA.html" TargetMode="External"/><Relationship Id="rIdsnkbpnxr-pdobpckzpy_5" Type="http://schemas.openxmlformats.org/officeDocument/2006/relationships/hyperlink" Target="https://nachi065.github.io/AI-Security-Wiki/03_Control_Library/03_AI_Security_Control_Objectives_Library.html#ai-ctrl-042" TargetMode="External"/><Relationship Id="rId6d1y2zp36wpw5nfnnxyva" Type="http://schemas.openxmlformats.org/officeDocument/2006/relationships/hyperlink" Target="https://nachi065.github.io/AI-Security-Wiki/02_Risk_Management/02F_AI_Use_Case_Risk_Triage.html" TargetMode="External"/><Relationship Id="rIdmdd1cb25hwurfhqjmldfm" Type="http://schemas.openxmlformats.org/officeDocument/2006/relationships/hyperlink" Target="https://nachi065.github.io/AI-Security-Wiki/23_Framework_Crosswalks/15_ISO_IEC_AI_Standards_Crosswalk.html" TargetMode="External"/><Relationship Id="rIduttokgazv4cxpezye8usg" Type="http://schemas.openxmlformats.org/officeDocument/2006/relationships/hyperlink" Target="https://nachi065.github.io/AI-Security-Wiki/12_EU_AI_Compliance/06_Proposed_Control_Fundamental_Rights_Impact_Assessment.html" TargetMode="External"/><Relationship Id="rId_uqcagog8bzmmjbteefln" Type="http://schemas.openxmlformats.org/officeDocument/2006/relationships/hyperlink" Target="https://creativecommons.org/licenses/by-sa/4.0/" TargetMode="External"/><Relationship Id="rIdgmyaayrtgk64t652ltfn8" Type="http://schemas.openxmlformats.org/officeDocument/2006/relationships/hyperlink" Target="https://creativecommons.org/licenses/by-sa/4.0/legalcode.en" TargetMode="External"/><Relationship Id="rIdo2joxyu1jsebjffkig23c" Type="http://schemas.openxmlformats.org/officeDocument/2006/relationships/hyperlink" Target="https://nachi065.github.io/AI-Security-Wiki/" TargetMode="External"/><Relationship Id="rIdw9xvbb_7yniadcyhv2q9a" Type="http://schemas.openxmlformats.org/officeDocument/2006/relationships/hyperlink" Target="https://github.com/nachi065/AI-Security-Wiki"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Impact Assessment</dc:title>
  <dc:subject>AI impact assessment template built from the AI Security Wiki</dc:subject>
  <dc:creator>Nachiket Sathaye</dc:creator>
  <cp:keywords>AI impact assessment; DPIA; FRIA; ISO/IEC 42005; CC BY-SA 4.0</cp:keywords>
  <dc:description>Copyright (c) 2026 Nachiket Sathaye. Licensed under CC BY-SA 4.0: https://creativecommons.org/licenses/by-sa/4.0/. Source: https://nachi065.github.io/AI-Security-Wiki/</dc:description>
  <cp:lastModifiedBy>Nachiket Sathaye</cp:lastModifiedBy>
  <cp:revision>1</cp:revision>
  <dcterms:created xsi:type="dcterms:W3CDTF">2026-10-17T20:40:20.216Z</dcterms:created>
  <dcterms:modified xsi:type="dcterms:W3CDTF">2026-10-17T20:40:20.216Z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CC BY-SA 4.0</vt:lpwstr>
  </property>
  <property fmtid="{D5CDD505-2E9C-101B-9397-08002B2CF9AE}" pid="3" name="License URL">
    <vt:lpwstr>https://creativecommons.org/licenses/by-sa/4.0/</vt:lpwstr>
  </property>
  <property fmtid="{D5CDD505-2E9C-101B-9397-08002B2CF9AE}" pid="4" name="Copyright">
    <vt:lpwstr>Copyright (c) 2026 Nachiket Sathaye</vt:lpwstr>
  </property>
  <property fmtid="{D5CDD505-2E9C-101B-9397-08002B2CF9AE}" pid="5" name="Source">
    <vt:lpwstr>https://nachi065.github.io/AI-Security-Wiki/</vt:lpwstr>
  </property>
</Properties>
</file>