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p>
    <w:p>
      <w:pPr>
        <w:spacing w:after="200"/>
      </w:pPr>
      <w:r>
        <w:rPr>
          <w:color w:val="595959"/>
          <w:sz w:val="28"/>
          <w:szCs w:val="28"/>
          <w:highlight w:val="yellow"/>
        </w:rPr>
        <w:t xml:space="preserve">[Organization name]</w:t>
      </w:r>
    </w:p>
    <w:p>
      <w:pPr>
        <w:spacing w:after="200"/>
      </w:pPr>
      <w:r>
        <w:rPr>
          <w:b/>
          <w:bCs/>
          <w:color w:val="1F3864"/>
          <w:sz w:val="56"/>
          <w:szCs w:val="56"/>
        </w:rPr>
        <w:t xml:space="preserve">AI Acceptable Use Policy</w:t>
      </w:r>
    </w:p>
    <w:p>
      <w:pPr>
        <w:spacing w:after="600"/>
      </w:pPr>
      <w:r>
        <w:rPr>
          <w:color w:val="2F5597"/>
          <w:sz w:val="26"/>
          <w:szCs w:val="26"/>
        </w:rPr>
        <w:t xml:space="preserve">Rules for using, building and buying AI tools, applications and agents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Document control</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Document owner</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[Name, role]</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Approved by</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[Name, role or committee]</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Approval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Effective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Next review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Version</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[1.0]</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Classification</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[Internal]</w:t>
            </w:r>
          </w:p>
        </w:tc>
      </w:tr>
    </w:tbl>
    <w:p>
      <w:pPr>
        <w:spacing w:after="120"/>
      </w:pPr>
    </w:p>
    <w:p>
      <w:pPr>
        <w:spacing w:before="400"/>
      </w:pPr>
      <w:r>
        <w:rPr>
          <w:color w:val="595959"/>
          <w:sz w:val="16"/>
          <w:szCs w:val="16"/>
        </w:rPr>
        <w:t xml:space="preserve">Policy template built from the AI Security Wiki (https://nachi065.github.io/AI-Security-Wiki/), template version 1.0, 17 October 2026.</w:t>
      </w:r>
    </w:p>
    <w:p>
      <w:r>
        <w:rPr>
          <w:color w:val="595959"/>
          <w:sz w:val="16"/>
          <w:szCs w:val="16"/>
        </w:rPr>
        <w:t xml:space="preserve">Copyright (c) 2026 Nachiket Sathaye. Licensed under CC BY-SA 4.0 (https://creativecommons.org/licenses/by-sa/4.0/). See "Licence and credit" at the end.</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2F5597" w:sz="12"/>
              <w:left w:val="single" w:color="2F5597" w:sz="12"/>
              <w:bottom w:val="single" w:color="2F5597" w:sz="12"/>
              <w:right w:val="single" w:color="2F5597" w:sz="12"/>
            </w:tcBorders>
            <w:shd w:fill="EAF1FB" w:color="auto" w:val="clear"/>
            <w:tcMar>
              <w:top w:type="dxa" w:w="120"/>
              <w:left w:type="dxa" w:w="160"/>
              <w:bottom w:type="dxa" w:w="120"/>
              <w:right w:type="dxa" w:w="160"/>
            </w:tcMar>
          </w:tcPr>
          <w:p>
            <w:pPr>
              <w:spacing w:after="80"/>
            </w:pPr>
            <w:r>
              <w:rPr>
                <w:b/>
                <w:bCs/>
                <w:color w:val="2F5597"/>
              </w:rPr>
              <w:t xml:space="preserve">How to use this template (delete this box before publishing)</w:t>
            </w:r>
          </w:p>
          <w:p>
            <w:pPr>
              <w:spacing w:after="60"/>
            </w:pPr>
            <w:r>
              <w:rPr>
                <w:sz w:val="19"/>
                <w:szCs w:val="19"/>
              </w:rPr>
              <w:t xml:space="preserve">Replace every </w:t>
            </w:r>
            <w:r>
              <w:rPr>
                <w:sz w:val="19"/>
                <w:szCs w:val="19"/>
                <w:highlight w:val="yellow"/>
              </w:rPr>
              <w:t xml:space="preserve">[highlighted placeholder]</w:t>
            </w:r>
            <w:r>
              <w:rPr>
                <w:sz w:val="19"/>
                <w:szCs w:val="19"/>
              </w:rPr>
              <w:t xml:space="preserve"> with your own wording. Keep the AI-CTRL references or replace them with your own control IDs.</w:t>
            </w:r>
          </w:p>
          <w:p>
            <w:pPr>
              <w:spacing w:after="60"/>
            </w:pPr>
            <w:r>
              <w:rPr>
                <w:sz w:val="19"/>
                <w:szCs w:val="19"/>
              </w:rPr>
              <w:t xml:space="preserve">Each section ends with its source in the AI Security Wiki. Wording marked "organization-specific" is not taken from the wiki: decide it yourself.</w:t>
            </w:r>
          </w:p>
          <w:p>
            <w:pPr>
              <w:spacing w:after="60"/>
            </w:pPr>
            <w:r>
              <w:rPr>
                <w:sz w:val="19"/>
                <w:szCs w:val="19"/>
              </w:rPr>
              <w:t xml:space="preserve">The wiki says the governing body approves the AI policy, its scope, and the categories of AI use that are prohibited or always high-risk (AI Governance Operating Model, "Decisions Reserved for the Governing Body"). Do not publish this policy until that approval is recorded.</w:t>
            </w:r>
          </w:p>
          <w:p>
            <w:pPr>
              <w:spacing w:after="60"/>
            </w:pPr>
            <w:r>
              <w:rPr>
                <w:sz w:val="19"/>
                <w:szCs w:val="19"/>
              </w:rPr>
              <w:t xml:space="preserve">Wiki control AI-CTRL-012 asks you to map each policy statement to a control. Annex A does that for this template; keep it current when you edit the policy.</w:t>
            </w:r>
          </w:p>
          <w:p>
            <w:pPr>
              <w:spacing w:after="60"/>
            </w:pPr>
            <w:r>
              <w:rPr>
                <w:sz w:val="19"/>
                <w:szCs w:val="19"/>
              </w:rPr>
              <w:t xml:space="preserve">This is not legal advice. Check local employment, privacy and AI laws before you publish.</w:t>
            </w:r>
          </w:p>
        </w:tc>
      </w:tr>
    </w:tbl>
    <w:p>
      <w:pPr>
        <w:spacing w:after="160"/>
      </w:pPr>
    </w:p>
    <w:p>
      <w:pPr>
        <w:spacing w:after="120"/>
      </w:pPr>
      <w:r>
        <w:rPr>
          <w:b/>
          <w:bCs/>
          <w:color w:val="1F3864"/>
          <w:sz w:val="28"/>
          <w:szCs w:val="28"/>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rPr>
          <w:i/>
          <w:iCs/>
          <w:color w:val="595959"/>
          <w:sz w:val="16"/>
          <w:szCs w:val="16"/>
        </w:rPr>
        <w:t xml:space="preserve">If the contents list is empty, right-click it and choose Update Field (Word fills it when the document opens).</w:t>
      </w:r>
    </w:p>
    <w:p>
      <w:r>
        <w:br w:type="page"/>
      </w:r>
    </w:p>
    <w:p>
      <w:pPr>
        <w:pStyle w:val="Heading1"/>
      </w:pPr>
      <w:r>
        <w:t xml:space="preserve">1. Purpose</w:t>
      </w:r>
    </w:p>
    <w:p>
      <w:pPr>
        <w:spacing w:after="120"/>
      </w:pPr>
      <w:r>
        <w:t xml:space="preserve">This policy sets the rules for using, building and buying artificial intelligence (AI) at </w:t>
      </w:r>
      <w:r>
        <w:rPr>
          <w:highlight w:val="yellow"/>
        </w:rPr>
        <w:t xml:space="preserve">[Organization name]</w:t>
      </w:r>
      <w:r>
        <w:t xml:space="preserve">. It allows AI to be used where it is approved, governed and aligned with data classification, information protection, confidentiality, security and regulatory requirements, and sets out who is responsible for what.</w:t>
      </w:r>
    </w:p>
    <w:p>
      <w:pPr>
        <w:spacing w:after="160"/>
      </w:pPr>
      <w:r>
        <w:rPr>
          <w:b/>
          <w:bCs/>
          <w:color w:val="595959"/>
          <w:sz w:val="16"/>
          <w:szCs w:val="16"/>
        </w:rPr>
        <w:t xml:space="preserve">Source: </w:t>
      </w:r>
      <w:r>
        <w:rPr>
          <w:color w:val="595959"/>
          <w:sz w:val="16"/>
          <w:szCs w:val="16"/>
        </w:rPr>
        <w:t xml:space="preserve">AI Policy, Standards and Acceptable Use, "Acceptable AI Use"; AI-CTRL-012.</w:t>
      </w:r>
    </w:p>
    <w:p>
      <w:pPr>
        <w:pStyle w:val="Heading1"/>
      </w:pPr>
      <w:r>
        <w:t xml:space="preserve">2. Scope</w:t>
      </w:r>
    </w:p>
    <w:p>
      <w:pPr>
        <w:spacing w:after="120"/>
      </w:pPr>
      <w:r>
        <w:t xml:space="preserve">This policy applies to </w:t>
      </w:r>
      <w:r>
        <w:rPr>
          <w:highlight w:val="yellow"/>
        </w:rPr>
        <w:t xml:space="preserve">[all employees, contractors, temporary staff and third parties]</w:t>
      </w:r>
      <w:r>
        <w:t xml:space="preserve"> who use, build, operate, buy or oversee AI on behalf of </w:t>
      </w:r>
      <w:r>
        <w:rPr>
          <w:highlight w:val="yellow"/>
        </w:rPr>
        <w:t xml:space="preserve">[Organization name]</w:t>
      </w:r>
      <w:r>
        <w:t xml:space="preserve">, on any device or account used for </w:t>
      </w:r>
      <w:r>
        <w:rPr>
          <w:highlight w:val="yellow"/>
        </w:rPr>
        <w:t xml:space="preserve">[Organization name]</w:t>
      </w:r>
      <w:r>
        <w:t xml:space="preserve"> business.</w:t>
      </w:r>
    </w:p>
    <w:p>
      <w:pPr>
        <w:spacing w:after="120"/>
      </w:pPr>
      <w:r>
        <w:t xml:space="preserve">It covers these kinds of AI:</w:t>
      </w:r>
    </w:p>
    <w:p>
      <w:pPr>
        <w:pStyle w:val="ListParagraph"/>
        <w:numPr>
          <w:ilvl w:val="0"/>
          <w:numId w:val="2"/>
        </w:numPr>
        <w:spacing w:after="60"/>
      </w:pPr>
      <w:r>
        <w:t xml:space="preserve">Browser and workforce AI: public and enterprise AI assistants and chat tools used through a browser or desktop app.</w:t>
      </w:r>
    </w:p>
    <w:p>
      <w:pPr>
        <w:pStyle w:val="ListParagraph"/>
        <w:numPr>
          <w:ilvl w:val="0"/>
          <w:numId w:val="2"/>
        </w:numPr>
        <w:spacing w:after="60"/>
      </w:pPr>
      <w:r>
        <w:t xml:space="preserve">AI coding assistants used in development tools (IDEs).</w:t>
      </w:r>
    </w:p>
    <w:p>
      <w:pPr>
        <w:pStyle w:val="ListParagraph"/>
        <w:numPr>
          <w:ilvl w:val="0"/>
          <w:numId w:val="2"/>
        </w:numPr>
        <w:spacing w:after="60"/>
      </w:pPr>
      <w:r>
        <w:t xml:space="preserve">AI APIs and model services called by our systems.</w:t>
      </w:r>
    </w:p>
    <w:p>
      <w:pPr>
        <w:pStyle w:val="ListParagraph"/>
        <w:numPr>
          <w:ilvl w:val="0"/>
          <w:numId w:val="2"/>
        </w:numPr>
        <w:spacing w:after="60"/>
      </w:pPr>
      <w:r>
        <w:t xml:space="preserve">Custom AI applications we build, including those that retrieve from internal knowledge sources (RAG).</w:t>
      </w:r>
    </w:p>
    <w:p>
      <w:pPr>
        <w:pStyle w:val="ListParagraph"/>
        <w:numPr>
          <w:ilvl w:val="0"/>
          <w:numId w:val="2"/>
        </w:numPr>
        <w:spacing w:after="60"/>
      </w:pPr>
      <w:r>
        <w:t xml:space="preserve">AI agents that can call tools, APIs or other agents, or take actions in our systems.</w:t>
      </w:r>
    </w:p>
    <w:p>
      <w:pPr>
        <w:pStyle w:val="ListParagraph"/>
        <w:numPr>
          <w:ilvl w:val="0"/>
          <w:numId w:val="2"/>
        </w:numPr>
        <w:spacing w:after="60"/>
      </w:pPr>
      <w:r>
        <w:t xml:space="preserve">AI features embedded in vendor products and services.</w:t>
      </w:r>
    </w:p>
    <w:p>
      <w:pPr>
        <w:spacing w:after="160"/>
      </w:pPr>
      <w:r>
        <w:rPr>
          <w:b/>
          <w:bCs/>
          <w:color w:val="595959"/>
          <w:sz w:val="16"/>
          <w:szCs w:val="16"/>
        </w:rPr>
        <w:t xml:space="preserve">Source: </w:t>
      </w:r>
      <w:r>
        <w:rPr>
          <w:color w:val="595959"/>
          <w:sz w:val="16"/>
          <w:szCs w:val="16"/>
        </w:rPr>
        <w:t xml:space="preserve">The AI channels used by the wiki domain standards (Browser AI, IDE AI, Custom AI Application Runtime, Agentic AI) and AI-CTRL-001.</w:t>
      </w:r>
    </w:p>
    <w:p>
      <w:pPr>
        <w:pStyle w:val="Heading1"/>
      </w:pPr>
      <w:r>
        <w:t xml:space="preserve">3. Definitions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6939"/>
      </w:tblGrid>
      <w:tr>
        <w:trPr>
          <w:cantSplit/>
          <w:tblHeader/>
        </w:trPr>
        <w:tc>
          <w:tcPr>
            <w:tcW w:type="dxa" w:w="269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Term</w:t>
            </w:r>
          </w:p>
        </w:tc>
        <w:tc>
          <w:tcPr>
            <w:tcW w:type="dxa" w:w="693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Meaning in this policy</w:t>
            </w:r>
          </w:p>
        </w:tc>
      </w:tr>
      <w:tr>
        <w:trPr>
          <w:cantSplit/>
          <w:tblHeader w:val="false"/>
        </w:trPr>
        <w:tc>
          <w:tcPr>
            <w:tcW w:type="dxa" w:w="269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Approved AI platform</w:t>
            </w:r>
          </w:p>
        </w:tc>
        <w:tc>
          <w:tcPr>
            <w:tcW w:type="dxa" w:w="6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An AI tool or service that has passed the review gates in section 6 and is listed in </w:t>
            </w:r>
            <w:r>
              <w:rPr>
                <w:b w:val="false"/>
                <w:bCs w:val="false"/>
                <w:sz w:val="19"/>
                <w:szCs w:val="19"/>
                <w:highlight w:val="yellow"/>
              </w:rPr>
              <w:t xml:space="preserve">[the AI register or approved tools list]</w:t>
            </w:r>
            <w:r>
              <w:rPr>
                <w:b w:val="false"/>
                <w:bCs w:val="false"/>
                <w:sz w:val="19"/>
                <w:szCs w:val="19"/>
              </w:rPr>
              <w:t xml:space="preserve">.</w:t>
            </w:r>
          </w:p>
        </w:tc>
      </w:tr>
      <w:tr>
        <w:trPr>
          <w:cantSplit/>
          <w:tblHeader w:val="false"/>
        </w:trPr>
        <w:tc>
          <w:tcPr>
            <w:tcW w:type="dxa" w:w="269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AI agent</w:t>
            </w:r>
          </w:p>
        </w:tc>
        <w:tc>
          <w:tcPr>
            <w:tcW w:type="dxa" w:w="6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An AI system that can call tools, APIs or other agents, or change data, to complete a task.</w:t>
            </w:r>
          </w:p>
        </w:tc>
      </w:tr>
      <w:tr>
        <w:trPr>
          <w:cantSplit/>
          <w:tblHeader w:val="false"/>
        </w:trPr>
        <w:tc>
          <w:tcPr>
            <w:tcW w:type="dxa" w:w="269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Agent sponsor</w:t>
            </w:r>
          </w:p>
        </w:tc>
        <w:tc>
          <w:tcPr>
            <w:tcW w:type="dxa" w:w="6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The one named person who answers for an agent: its purpose, the tools and systems it may use, its recertification and its retirement.</w:t>
            </w:r>
          </w:p>
        </w:tc>
      </w:tr>
      <w:tr>
        <w:trPr>
          <w:cantSplit/>
          <w:tblHeader w:val="false"/>
        </w:trPr>
        <w:tc>
          <w:tcPr>
            <w:tcW w:type="dxa" w:w="269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Sensitive action</w:t>
            </w:r>
          </w:p>
        </w:tc>
        <w:tc>
          <w:tcPr>
            <w:tcW w:type="dxa" w:w="6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An irreversible or high-impact action, such as a payment, a data deletion, an external message or a change to access rights. </w:t>
            </w:r>
            <w:r>
              <w:rPr>
                <w:b w:val="false"/>
                <w:bCs w:val="false"/>
                <w:sz w:val="19"/>
                <w:szCs w:val="19"/>
                <w:highlight w:val="yellow"/>
              </w:rPr>
              <w:t xml:space="preserve">[List your own.]</w:t>
            </w:r>
          </w:p>
        </w:tc>
      </w:tr>
      <w:tr>
        <w:trPr>
          <w:cantSplit/>
          <w:tblHeader w:val="false"/>
        </w:trPr>
        <w:tc>
          <w:tcPr>
            <w:tcW w:type="dxa" w:w="269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Data classification</w:t>
            </w:r>
          </w:p>
        </w:tc>
        <w:tc>
          <w:tcPr>
            <w:tcW w:type="dxa" w:w="6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The classification scheme in </w:t>
            </w:r>
            <w:r>
              <w:rPr>
                <w:b w:val="false"/>
                <w:bCs w:val="false"/>
                <w:sz w:val="19"/>
                <w:szCs w:val="19"/>
                <w:highlight w:val="yellow"/>
              </w:rPr>
              <w:t xml:space="preserve">[name of your information classification policy]</w:t>
            </w:r>
            <w:r>
              <w:rPr>
                <w:b w:val="false"/>
                <w:bCs w:val="false"/>
                <w:sz w:val="19"/>
                <w:szCs w:val="19"/>
              </w:rPr>
              <w:t xml:space="preserve">.</w:t>
            </w:r>
          </w:p>
        </w:tc>
      </w:tr>
      <w:tr>
        <w:trPr>
          <w:cantSplit/>
          <w:tblHeader w:val="false"/>
        </w:trPr>
        <w:tc>
          <w:tcPr>
            <w:tcW w:type="dxa" w:w="269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Exception</w:t>
            </w:r>
          </w:p>
        </w:tc>
        <w:tc>
          <w:tcPr>
            <w:tcW w:type="dxa" w:w="6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 time-limited, approved departure from this policy, recorded under section 9.</w:t>
            </w:r>
          </w:p>
        </w:tc>
      </w:tr>
    </w:tbl>
    <w:p>
      <w:pPr>
        <w:spacing w:after="120"/>
      </w:pPr>
    </w:p>
    <w:p>
      <w:pPr>
        <w:spacing w:after="160"/>
      </w:pPr>
      <w:r>
        <w:rPr>
          <w:b/>
          <w:bCs/>
          <w:color w:val="595959"/>
          <w:sz w:val="16"/>
          <w:szCs w:val="16"/>
        </w:rPr>
        <w:t xml:space="preserve">Source: </w:t>
      </w:r>
      <w:r>
        <w:rPr>
          <w:color w:val="595959"/>
          <w:sz w:val="16"/>
          <w:szCs w:val="16"/>
        </w:rPr>
        <w:t xml:space="preserve">AI Governance Operating Model (agent sponsor); AI-CTRL-023 (sensitive actions). Other wording is organization-specific; see also the wiki AI Security Glossary.</w:t>
      </w:r>
    </w:p>
    <w:p>
      <w:pPr>
        <w:pStyle w:val="Heading1"/>
      </w:pPr>
      <w:r>
        <w:t xml:space="preserve">4. Rules for everyone who uses AI</w:t>
      </w:r>
    </w:p>
    <w:p>
      <w:pPr>
        <w:pStyle w:val="Heading2"/>
      </w:pPr>
      <w:r>
        <w:t xml:space="preserve">4.1 Acceptable use</w:t>
      </w:r>
    </w:p>
    <w:p>
      <w:pPr>
        <w:spacing w:after="120"/>
      </w:pPr>
      <w:r>
        <w:t xml:space="preserve">You may use AI tools for </w:t>
      </w:r>
      <w:r>
        <w:rPr>
          <w:highlight w:val="yellow"/>
        </w:rPr>
        <w:t xml:space="preserve">[Organization name]</w:t>
      </w:r>
      <w:r>
        <w:t xml:space="preserve"> work only when the tool is approved and your use follows this policy, the data classification policy and </w:t>
      </w:r>
      <w:r>
        <w:rPr>
          <w:highlight w:val="yellow"/>
        </w:rPr>
        <w:t xml:space="preserve">[other relevant policies]</w:t>
      </w:r>
      <w:r>
        <w:t xml:space="preserve">.</w:t>
      </w:r>
    </w:p>
    <w:p>
      <w:pPr>
        <w:spacing w:after="120"/>
      </w:pPr>
      <w:r>
        <w:t xml:space="preserve">Use approved enterprise AI platforms where they are available.</w:t>
      </w:r>
    </w:p>
    <w:p>
      <w:pPr>
        <w:spacing w:after="160"/>
      </w:pPr>
      <w:r>
        <w:rPr>
          <w:b/>
          <w:bCs/>
          <w:color w:val="595959"/>
          <w:sz w:val="16"/>
          <w:szCs w:val="16"/>
        </w:rPr>
        <w:t xml:space="preserve">Source: </w:t>
      </w:r>
      <w:r>
        <w:rPr>
          <w:color w:val="595959"/>
          <w:sz w:val="16"/>
          <w:szCs w:val="16"/>
        </w:rPr>
        <w:t xml:space="preserve">AI Policy, Standards and Acceptable Use, "Acceptable AI Use" and "Public AI Platform Rules".</w:t>
      </w:r>
    </w:p>
    <w:p>
      <w:pPr>
        <w:pStyle w:val="Heading2"/>
      </w:pPr>
      <w:r>
        <w:t xml:space="preserve">4.2 Information you must not put into AI tools</w:t>
      </w:r>
    </w:p>
    <w:p>
      <w:pPr>
        <w:spacing w:after="120"/>
      </w:pPr>
      <w:r>
        <w:t xml:space="preserve">You must not submit or upload:</w:t>
      </w:r>
    </w:p>
    <w:p>
      <w:pPr>
        <w:pStyle w:val="ListParagraph"/>
        <w:numPr>
          <w:ilvl w:val="0"/>
          <w:numId w:val="2"/>
        </w:numPr>
        <w:spacing w:after="60"/>
      </w:pPr>
      <w:r>
        <w:t xml:space="preserve">Critical infrastructure information.</w:t>
      </w:r>
    </w:p>
    <w:p>
      <w:pPr>
        <w:pStyle w:val="ListParagraph"/>
        <w:numPr>
          <w:ilvl w:val="0"/>
          <w:numId w:val="2"/>
        </w:numPr>
        <w:spacing w:after="60"/>
      </w:pPr>
      <w:r>
        <w:t xml:space="preserve">Restricted or confidential documents, unless approved controls are in place.</w:t>
      </w:r>
    </w:p>
    <w:p>
      <w:pPr>
        <w:pStyle w:val="ListParagraph"/>
        <w:numPr>
          <w:ilvl w:val="0"/>
          <w:numId w:val="2"/>
        </w:numPr>
        <w:spacing w:after="60"/>
      </w:pPr>
      <w:r>
        <w:t xml:space="preserve">Passwords, API keys, certificates, tokens or other secrets.</w:t>
      </w:r>
    </w:p>
    <w:p>
      <w:pPr>
        <w:pStyle w:val="ListParagraph"/>
        <w:numPr>
          <w:ilvl w:val="0"/>
          <w:numId w:val="2"/>
        </w:numPr>
        <w:spacing w:after="60"/>
      </w:pPr>
      <w:r>
        <w:t xml:space="preserve">Customer, employee or regulated data, unless explicitly approved.</w:t>
      </w:r>
    </w:p>
    <w:p>
      <w:pPr>
        <w:pStyle w:val="ListParagraph"/>
        <w:numPr>
          <w:ilvl w:val="0"/>
          <w:numId w:val="2"/>
        </w:numPr>
        <w:spacing w:after="60"/>
      </w:pPr>
      <w:r>
        <w:t xml:space="preserve">Internal architecture diagrams, network configurations or security procedures.</w:t>
      </w:r>
    </w:p>
    <w:p>
      <w:pPr>
        <w:pStyle w:val="ListParagraph"/>
        <w:numPr>
          <w:ilvl w:val="0"/>
          <w:numId w:val="2"/>
        </w:numPr>
        <w:spacing w:after="60"/>
      </w:pPr>
      <w:r>
        <w:t xml:space="preserve">Full proprietary source code or sensitive application logic, unless approved.</w:t>
      </w:r>
    </w:p>
    <w:p>
      <w:pPr>
        <w:pStyle w:val="ListParagraph"/>
        <w:numPr>
          <w:ilvl w:val="0"/>
          <w:numId w:val="2"/>
        </w:numPr>
        <w:spacing w:after="60"/>
      </w:pPr>
      <w:r>
        <w:t xml:space="preserve">Procurement, legal, audit or security assessment data to unapproved AI platforms.</w:t>
      </w:r>
    </w:p>
    <w:p>
      <w:pPr>
        <w:spacing w:after="160"/>
      </w:pPr>
      <w:r>
        <w:rPr>
          <w:b/>
          <w:bCs/>
          <w:color w:val="595959"/>
          <w:sz w:val="16"/>
          <w:szCs w:val="16"/>
        </w:rPr>
        <w:t xml:space="preserve">Source: </w:t>
      </w:r>
      <w:r>
        <w:rPr>
          <w:color w:val="595959"/>
          <w:sz w:val="16"/>
          <w:szCs w:val="16"/>
        </w:rPr>
        <w:t xml:space="preserve">AI Policy, Standards and Acceptable Use, "Prohibited AI Use".</w:t>
      </w:r>
    </w:p>
    <w:p>
      <w:pPr>
        <w:pStyle w:val="Heading2"/>
      </w:pPr>
      <w:r>
        <w:t xml:space="preserve">4.3 Rules for public AI platforms</w:t>
      </w:r>
    </w:p>
    <w:p>
      <w:pPr>
        <w:pStyle w:val="ListParagraph"/>
        <w:numPr>
          <w:ilvl w:val="0"/>
          <w:numId w:val="2"/>
        </w:numPr>
        <w:spacing w:after="60"/>
      </w:pPr>
      <w:r>
        <w:t xml:space="preserve">Do not use personal AI accounts for business data.</w:t>
      </w:r>
    </w:p>
    <w:p>
      <w:pPr>
        <w:pStyle w:val="ListParagraph"/>
        <w:numPr>
          <w:ilvl w:val="0"/>
          <w:numId w:val="2"/>
        </w:numPr>
        <w:spacing w:after="60"/>
      </w:pPr>
      <w:r>
        <w:t xml:space="preserve">Do not bypass browser, endpoint or data loss prevention (DLP) controls.</w:t>
      </w:r>
    </w:p>
    <w:p>
      <w:pPr>
        <w:pStyle w:val="ListParagraph"/>
        <w:numPr>
          <w:ilvl w:val="0"/>
          <w:numId w:val="2"/>
        </w:numPr>
        <w:spacing w:after="60"/>
      </w:pPr>
      <w:r>
        <w:t xml:space="preserve">Treat AI output as unverified until it has been reviewed.</w:t>
      </w:r>
    </w:p>
    <w:p>
      <w:pPr>
        <w:spacing w:after="160"/>
      </w:pPr>
      <w:r>
        <w:rPr>
          <w:b/>
          <w:bCs/>
          <w:color w:val="595959"/>
          <w:sz w:val="16"/>
          <w:szCs w:val="16"/>
        </w:rPr>
        <w:t xml:space="preserve">Source: </w:t>
      </w:r>
      <w:r>
        <w:rPr>
          <w:color w:val="595959"/>
          <w:sz w:val="16"/>
          <w:szCs w:val="16"/>
        </w:rPr>
        <w:t xml:space="preserve">AI Policy, Standards and Acceptable Use, "Public AI Platform Rules".</w:t>
      </w:r>
    </w:p>
    <w:p>
      <w:pPr>
        <w:pStyle w:val="Heading2"/>
      </w:pPr>
      <w:r>
        <w:t xml:space="preserve">4.4 Using AI output</w:t>
      </w:r>
    </w:p>
    <w:p>
      <w:pPr>
        <w:pStyle w:val="ListParagraph"/>
        <w:numPr>
          <w:ilvl w:val="0"/>
          <w:numId w:val="2"/>
        </w:numPr>
        <w:spacing w:after="60"/>
      </w:pPr>
      <w:r>
        <w:t xml:space="preserve">Check AI output before you rely on it, publish it, send it outside </w:t>
      </w:r>
      <w:r>
        <w:rPr>
          <w:highlight w:val="yellow"/>
        </w:rPr>
        <w:t xml:space="preserve">[Organization name]</w:t>
      </w:r>
      <w:r>
        <w:t xml:space="preserve"> or use it in a decision about a person.</w:t>
      </w:r>
    </w:p>
    <w:p>
      <w:pPr>
        <w:pStyle w:val="ListParagraph"/>
        <w:numPr>
          <w:ilvl w:val="0"/>
          <w:numId w:val="2"/>
        </w:numPr>
        <w:spacing w:after="60"/>
      </w:pPr>
      <w:r>
        <w:t xml:space="preserve">Check that links, references, citations and software packages suggested by AI exist and are what they claim to be before you use them.</w:t>
      </w:r>
    </w:p>
    <w:p>
      <w:pPr>
        <w:pStyle w:val="ListParagraph"/>
        <w:numPr>
          <w:ilvl w:val="0"/>
          <w:numId w:val="2"/>
        </w:numPr>
        <w:spacing w:after="60"/>
      </w:pPr>
      <w:r>
        <w:t xml:space="preserve">You remain responsible for work you produce with AI.</w:t>
      </w:r>
    </w:p>
    <w:p>
      <w:pPr>
        <w:spacing w:after="160"/>
      </w:pPr>
      <w:r>
        <w:rPr>
          <w:b/>
          <w:bCs/>
          <w:color w:val="595959"/>
          <w:sz w:val="16"/>
          <w:szCs w:val="16"/>
        </w:rPr>
        <w:t xml:space="preserve">Source: </w:t>
      </w:r>
      <w:r>
        <w:rPr>
          <w:color w:val="595959"/>
          <w:sz w:val="16"/>
          <w:szCs w:val="16"/>
        </w:rPr>
        <w:t xml:space="preserve">AI Policy, Standards and Acceptable Use ("Treat AI output as unverified until reviewed"); AI-CTRL-039 (fabricated packages, links and references). The last bullet is organization-specific.</w:t>
      </w:r>
    </w:p>
    <w:p>
      <w:pPr>
        <w:pStyle w:val="Heading2"/>
      </w:pPr>
      <w:r>
        <w:t xml:space="preserve">4.5 Uses of AI that are not allowed</w:t>
      </w:r>
    </w:p>
    <w:p>
      <w:pPr>
        <w:spacing w:after="120"/>
      </w:pPr>
      <w:r>
        <w:t xml:space="preserve">Some uses of AI are prohibited whatever tool is used. The governing body approves this list. Uses on it are stopped at intake and are not assessed.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01"/>
        <w:gridCol w:w="4337"/>
      </w:tblGrid>
      <w:tr>
        <w:trPr>
          <w:cantSplit/>
          <w:tblHeader/>
        </w:trPr>
        <w:tc>
          <w:tcPr>
            <w:tcW w:type="dxa" w:w="5301"/>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Prohibited use</w:t>
            </w:r>
          </w:p>
        </w:tc>
        <w:tc>
          <w:tcPr>
            <w:tcW w:type="dxa" w:w="433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Reason or legal basis</w:t>
            </w:r>
          </w:p>
        </w:tc>
      </w:tr>
      <w:tr>
        <w:trPr>
          <w:cantSplit/>
          <w:tblHeader w:val="false"/>
        </w:trPr>
        <w:tc>
          <w:tcPr>
            <w:tcW w:type="dxa" w:w="530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highlight w:val="yellow"/>
              </w:rPr>
              <w:t xml:space="preserve">[Prohibited use 1]</w:t>
            </w:r>
          </w:p>
        </w:tc>
        <w:tc>
          <w:tcPr>
            <w:tcW w:type="dxa" w:w="433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highlight w:val="yellow"/>
              </w:rPr>
              <w:t xml:space="preserve">[Reason]</w:t>
            </w:r>
          </w:p>
        </w:tc>
      </w:tr>
      <w:tr>
        <w:trPr>
          <w:cantSplit/>
          <w:tblHeader w:val="false"/>
        </w:trPr>
        <w:tc>
          <w:tcPr>
            <w:tcW w:type="dxa" w:w="530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highlight w:val="yellow"/>
              </w:rPr>
              <w:t xml:space="preserve">[Prohibited use 2]</w:t>
            </w:r>
          </w:p>
        </w:tc>
        <w:tc>
          <w:tcPr>
            <w:tcW w:type="dxa" w:w="433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highlight w:val="yellow"/>
              </w:rPr>
              <w:t xml:space="preserve">[Reason]</w:t>
            </w:r>
          </w:p>
        </w:tc>
      </w:tr>
      <w:tr>
        <w:trPr>
          <w:cantSplit/>
          <w:tblHeader w:val="false"/>
        </w:trPr>
        <w:tc>
          <w:tcPr>
            <w:tcW w:type="dxa" w:w="530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highlight w:val="yellow"/>
              </w:rPr>
              <w:t xml:space="preserve">[Prohibited use 3]</w:t>
            </w:r>
          </w:p>
        </w:tc>
        <w:tc>
          <w:tcPr>
            <w:tcW w:type="dxa" w:w="433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highlight w:val="yellow"/>
              </w:rPr>
              <w:t xml:space="preserve">[Reason]</w:t>
            </w:r>
          </w:p>
        </w:tc>
      </w:tr>
    </w:tbl>
    <w:p>
      <w:pPr>
        <w:spacing w:after="120"/>
      </w:pPr>
    </w:p>
    <w:p>
      <w:pPr>
        <w:spacing w:after="120"/>
      </w:pPr>
      <w:r>
        <w:rPr>
          <w:i/>
          <w:iCs/>
          <w:color w:val="595959"/>
          <w:sz w:val="18"/>
          <w:szCs w:val="18"/>
        </w:rPr>
        <w:t xml:space="preserve">If the EU AI Act applies, include its Art. 5 prohibited practices. The wiki EU T01 AI System Classification page lists them as a starting point, and says the list must be checked against the text and Commission guidelines.</w:t>
      </w:r>
    </w:p>
    <w:p>
      <w:pPr>
        <w:spacing w:after="120"/>
      </w:pPr>
      <w:r>
        <w:t xml:space="preserve">The following uses always count as high-risk and need the full review in section 6 before use: </w:t>
      </w:r>
      <w:r>
        <w:rPr>
          <w:highlight w:val="yellow"/>
        </w:rPr>
        <w:t xml:space="preserve">[for example, decisions on credit, insurance, employment or eligibility, and uses of special or sensitive categories of data]</w:t>
      </w:r>
      <w:r>
        <w:t xml:space="preserve">.</w:t>
      </w:r>
    </w:p>
    <w:p>
      <w:pPr>
        <w:spacing w:after="160"/>
      </w:pPr>
      <w:r>
        <w:rPr>
          <w:b/>
          <w:bCs/>
          <w:color w:val="595959"/>
          <w:sz w:val="16"/>
          <w:szCs w:val="16"/>
        </w:rPr>
        <w:t xml:space="preserve">Source: </w:t>
      </w:r>
      <w:r>
        <w:rPr>
          <w:color w:val="595959"/>
          <w:sz w:val="16"/>
          <w:szCs w:val="16"/>
        </w:rPr>
        <w:t xml:space="preserve">AI Governance Operating Model, "Decisions Reserved for the Governing Body"; AI Use-Case Risk Triage ("Uses that your AI policy prohibits are stopped at intake"); GCC T01 mandatory High overrides. The lists themselves are organization-specific.</w:t>
      </w:r>
    </w:p>
    <w:p>
      <w:pPr>
        <w:pStyle w:val="Heading2"/>
      </w:pPr>
      <w:r>
        <w:t xml:space="preserve">4.6 Reporting</w:t>
      </w:r>
    </w:p>
    <w:p>
      <w:pPr>
        <w:spacing w:after="120"/>
      </w:pPr>
      <w:r>
        <w:t xml:space="preserve">Report to </w:t>
      </w:r>
      <w:r>
        <w:rPr>
          <w:highlight w:val="yellow"/>
        </w:rPr>
        <w:t xml:space="preserve">[security team contact]</w:t>
      </w:r>
      <w:r>
        <w:t xml:space="preserve"> straight away if you think confidential data was put into an unapproved AI tool, an AI tool or agent behaved unexpectedly or unsafely, or an AI suggestion looks malicious.</w:t>
      </w:r>
    </w:p>
    <w:p>
      <w:pPr>
        <w:spacing w:after="160"/>
      </w:pPr>
      <w:r>
        <w:rPr>
          <w:b/>
          <w:bCs/>
          <w:color w:val="595959"/>
          <w:sz w:val="16"/>
          <w:szCs w:val="16"/>
        </w:rPr>
        <w:t xml:space="preserve">Source: </w:t>
      </w:r>
      <w:r>
        <w:rPr>
          <w:color w:val="595959"/>
          <w:sz w:val="16"/>
          <w:szCs w:val="16"/>
        </w:rPr>
        <w:t xml:space="preserve">AI Policy, Standards and Acceptable Use ("Report suspicious or unsafe AI suggestions"); AI-CTRL-035. The contact and timing are organization-specific.</w:t>
      </w:r>
    </w:p>
    <w:p>
      <w:pPr>
        <w:pStyle w:val="Heading1"/>
      </w:pPr>
      <w:r>
        <w:t xml:space="preserve">5. Rules for developers and builders</w:t>
      </w:r>
    </w:p>
    <w:p>
      <w:pPr>
        <w:pStyle w:val="Heading2"/>
      </w:pPr>
      <w:r>
        <w:t xml:space="preserve">5.1 AI coding assistants</w:t>
      </w:r>
    </w:p>
    <w:p>
      <w:pPr>
        <w:pStyle w:val="ListParagraph"/>
        <w:numPr>
          <w:ilvl w:val="0"/>
          <w:numId w:val="2"/>
        </w:numPr>
        <w:spacing w:after="60"/>
      </w:pPr>
      <w:r>
        <w:t xml:space="preserve">Use only approved AI coding assistants and extensions.</w:t>
      </w:r>
    </w:p>
    <w:p>
      <w:pPr>
        <w:pStyle w:val="ListParagraph"/>
        <w:numPr>
          <w:ilvl w:val="0"/>
          <w:numId w:val="2"/>
        </w:numPr>
        <w:spacing w:after="60"/>
      </w:pPr>
      <w:r>
        <w:t xml:space="preserve">Do not submit production credentials or sensitive source code.</w:t>
      </w:r>
    </w:p>
    <w:p>
      <w:pPr>
        <w:pStyle w:val="ListParagraph"/>
        <w:numPr>
          <w:ilvl w:val="0"/>
          <w:numId w:val="2"/>
        </w:numPr>
        <w:spacing w:after="60"/>
      </w:pPr>
      <w:r>
        <w:t xml:space="preserve">Review AI-generated code under the secure coding process.</w:t>
      </w:r>
    </w:p>
    <w:p>
      <w:pPr>
        <w:pStyle w:val="ListParagraph"/>
        <w:numPr>
          <w:ilvl w:val="0"/>
          <w:numId w:val="2"/>
        </w:numPr>
        <w:spacing w:after="60"/>
      </w:pPr>
      <w:r>
        <w:t xml:space="preserve">Validate dependencies and generated configurations.</w:t>
      </w:r>
    </w:p>
    <w:p>
      <w:pPr>
        <w:pStyle w:val="ListParagraph"/>
        <w:numPr>
          <w:ilvl w:val="0"/>
          <w:numId w:val="2"/>
        </w:numPr>
        <w:spacing w:after="60"/>
      </w:pPr>
      <w:r>
        <w:t xml:space="preserve">Report suspicious or unsafe AI suggestions.</w:t>
      </w:r>
    </w:p>
    <w:p>
      <w:pPr>
        <w:spacing w:after="160"/>
      </w:pPr>
      <w:r>
        <w:rPr>
          <w:b/>
          <w:bCs/>
          <w:color w:val="595959"/>
          <w:sz w:val="16"/>
          <w:szCs w:val="16"/>
        </w:rPr>
        <w:t xml:space="preserve">Source: </w:t>
      </w:r>
      <w:r>
        <w:rPr>
          <w:color w:val="595959"/>
          <w:sz w:val="16"/>
          <w:szCs w:val="16"/>
        </w:rPr>
        <w:t xml:space="preserve">AI Policy, Standards and Acceptable Use, "AI Coding Assistant Rules"; AI-CTRL-004 (approved assistants).</w:t>
      </w:r>
    </w:p>
    <w:p>
      <w:pPr>
        <w:pStyle w:val="Heading2"/>
      </w:pPr>
      <w:r>
        <w:t xml:space="preserve">5.2 AI agents</w:t>
      </w:r>
    </w:p>
    <w:p>
      <w:pPr>
        <w:pStyle w:val="ListParagraph"/>
        <w:numPr>
          <w:ilvl w:val="0"/>
          <w:numId w:val="2"/>
        </w:numPr>
        <w:spacing w:after="60"/>
      </w:pPr>
      <w:r>
        <w:t xml:space="preserve">No agent may act autonomously without a defined owner (agent sponsor), identity, scope, tool list, approval workflow, logs and kill switch.</w:t>
      </w:r>
    </w:p>
    <w:p>
      <w:pPr>
        <w:pStyle w:val="ListParagraph"/>
        <w:numPr>
          <w:ilvl w:val="0"/>
          <w:numId w:val="2"/>
        </w:numPr>
        <w:spacing w:after="60"/>
      </w:pPr>
      <w:r>
        <w:t xml:space="preserve">Sensitive business actions must require human approval. Show the approver the real parameters and the consequence, not a model-written summary.</w:t>
      </w:r>
    </w:p>
    <w:p>
      <w:pPr>
        <w:pStyle w:val="ListParagraph"/>
        <w:numPr>
          <w:ilvl w:val="0"/>
          <w:numId w:val="2"/>
        </w:numPr>
        <w:spacing w:after="60"/>
      </w:pPr>
      <w:r>
        <w:t xml:space="preserve">Tool and API permissions must follow least privilege.</w:t>
      </w:r>
    </w:p>
    <w:p>
      <w:pPr>
        <w:pStyle w:val="ListParagraph"/>
        <w:numPr>
          <w:ilvl w:val="0"/>
          <w:numId w:val="2"/>
        </w:numPr>
        <w:spacing w:after="60"/>
      </w:pPr>
      <w:r>
        <w:t xml:space="preserve">Authority to act, access data or spend money is enforced outside the model. Model output is advice, never authority.</w:t>
      </w:r>
    </w:p>
    <w:p>
      <w:pPr>
        <w:pStyle w:val="ListParagraph"/>
        <w:numPr>
          <w:ilvl w:val="0"/>
          <w:numId w:val="2"/>
        </w:numPr>
        <w:spacing w:after="60"/>
      </w:pPr>
      <w:r>
        <w:t xml:space="preserve">Every agent must have a tested way to be stopped and to have its access revoked, and limits on steps, time and spend per task.</w:t>
      </w:r>
    </w:p>
    <w:p>
      <w:pPr>
        <w:spacing w:after="160"/>
      </w:pPr>
      <w:r>
        <w:rPr>
          <w:b/>
          <w:bCs/>
          <w:color w:val="595959"/>
          <w:sz w:val="16"/>
          <w:szCs w:val="16"/>
        </w:rPr>
        <w:t xml:space="preserve">Source: </w:t>
      </w:r>
      <w:r>
        <w:rPr>
          <w:color w:val="595959"/>
          <w:sz w:val="16"/>
          <w:szCs w:val="16"/>
        </w:rPr>
        <w:t xml:space="preserve">AI Policy, Standards and Acceptable Use, "Agentic AI Rules"; AI-CTRL-022, AI-CTRL-023, AI-CTRL-025.</w:t>
      </w:r>
    </w:p>
    <w:p>
      <w:pPr>
        <w:pStyle w:val="Heading2"/>
      </w:pPr>
      <w:r>
        <w:t xml:space="preserve">5.3 Custom AI applications and models</w:t>
      </w:r>
    </w:p>
    <w:p>
      <w:pPr>
        <w:pStyle w:val="ListParagraph"/>
        <w:numPr>
          <w:ilvl w:val="0"/>
          <w:numId w:val="2"/>
        </w:numPr>
        <w:spacing w:after="60"/>
      </w:pPr>
      <w:r>
        <w:t xml:space="preserve">Register every AI use case with a business owner and a risk tier before it is built or bought.</w:t>
      </w:r>
    </w:p>
    <w:p>
      <w:pPr>
        <w:pStyle w:val="ListParagraph"/>
        <w:numPr>
          <w:ilvl w:val="0"/>
          <w:numId w:val="2"/>
        </w:numPr>
        <w:spacing w:after="60"/>
      </w:pPr>
      <w:r>
        <w:t xml:space="preserve">Pin model versions rather than using floating aliases such as "latest", and treat a provider model change as a reviewed change.</w:t>
      </w:r>
    </w:p>
    <w:p>
      <w:pPr>
        <w:pStyle w:val="ListParagraph"/>
        <w:numPr>
          <w:ilvl w:val="0"/>
          <w:numId w:val="2"/>
        </w:numPr>
        <w:spacing w:after="60"/>
      </w:pPr>
      <w:r>
        <w:t xml:space="preserve">Take models and packages only from approved sources, and keep an AI bill of materials for each system.</w:t>
      </w:r>
    </w:p>
    <w:p>
      <w:pPr>
        <w:pStyle w:val="ListParagraph"/>
        <w:numPr>
          <w:ilvl w:val="0"/>
          <w:numId w:val="2"/>
        </w:numPr>
        <w:spacing w:after="60"/>
      </w:pPr>
      <w:r>
        <w:t xml:space="preserve">Set budgets, rate limits and quotas for AI usage, and limit loops and retries in agents.</w:t>
      </w:r>
    </w:p>
    <w:p>
      <w:pPr>
        <w:spacing w:after="160"/>
      </w:pPr>
      <w:r>
        <w:rPr>
          <w:b/>
          <w:bCs/>
          <w:color w:val="595959"/>
          <w:sz w:val="16"/>
          <w:szCs w:val="16"/>
        </w:rPr>
        <w:t xml:space="preserve">Source: </w:t>
      </w:r>
      <w:r>
        <w:rPr>
          <w:color w:val="595959"/>
          <w:sz w:val="16"/>
          <w:szCs w:val="16"/>
        </w:rPr>
        <w:t xml:space="preserve">AI-CTRL-011, AI-CTRL-031, AI-CTRL-036.</w:t>
      </w:r>
    </w:p>
    <w:p>
      <w:pPr>
        <w:pStyle w:val="Heading1"/>
      </w:pPr>
      <w:r>
        <w:t xml:space="preserve">6. Approval before use</w:t>
      </w:r>
    </w:p>
    <w:p>
      <w:pPr>
        <w:spacing w:after="120"/>
      </w:pPr>
      <w:r>
        <w:t xml:space="preserve">No AI tool, application or agent may be used for </w:t>
      </w:r>
      <w:r>
        <w:rPr>
          <w:highlight w:val="yellow"/>
        </w:rPr>
        <w:t xml:space="preserve">[Organization name]</w:t>
      </w:r>
      <w:r>
        <w:t xml:space="preserve"> business until it has passed the review gates that apply to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2891"/>
        <w:gridCol w:w="5398"/>
      </w:tblGrid>
      <w:tr>
        <w:trPr>
          <w:cantSplit/>
          <w:tblHeader/>
        </w:trPr>
        <w:tc>
          <w:tcPr>
            <w:tcW w:type="dxa" w:w="134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Gate</w:t>
            </w:r>
          </w:p>
        </w:tc>
        <w:tc>
          <w:tcPr>
            <w:tcW w:type="dxa" w:w="2891"/>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Applies to</w:t>
            </w:r>
          </w:p>
        </w:tc>
        <w:tc>
          <w:tcPr>
            <w:tcW w:type="dxa" w:w="539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Required review</w:t>
            </w:r>
          </w:p>
        </w:tc>
      </w:tr>
      <w:tr>
        <w:trPr>
          <w:cantSplit/>
          <w:tblHeader w:val="false"/>
        </w:trPr>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Gate 1</w:t>
            </w:r>
          </w:p>
        </w:tc>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Any AI tool</w:t>
            </w:r>
          </w:p>
        </w:tc>
        <w:tc>
          <w:tcPr>
            <w:tcW w:type="dxa" w:w="53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 usage and data handling review</w:t>
            </w:r>
          </w:p>
        </w:tc>
      </w:tr>
      <w:tr>
        <w:trPr>
          <w:cantSplit/>
          <w:tblHeader w:val="false"/>
        </w:trPr>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Gate 2</w:t>
            </w:r>
          </w:p>
        </w:tc>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 with sensitive data</w:t>
            </w:r>
          </w:p>
        </w:tc>
        <w:tc>
          <w:tcPr>
            <w:tcW w:type="dxa" w:w="53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DLP, classification and data protection review</w:t>
            </w:r>
          </w:p>
        </w:tc>
      </w:tr>
      <w:tr>
        <w:trPr>
          <w:cantSplit/>
          <w:tblHeader w:val="false"/>
        </w:trPr>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Gate 3</w:t>
            </w:r>
          </w:p>
        </w:tc>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Custom AI application</w:t>
            </w:r>
          </w:p>
        </w:tc>
        <w:tc>
          <w:tcPr>
            <w:tcW w:type="dxa" w:w="53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AppSec, prompt injection and runtime review</w:t>
            </w:r>
          </w:p>
        </w:tc>
      </w:tr>
      <w:tr>
        <w:trPr>
          <w:cantSplit/>
          <w:tblHeader w:val="false"/>
        </w:trPr>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Gate 4</w:t>
            </w:r>
          </w:p>
        </w:tc>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Agentic AI</w:t>
            </w:r>
          </w:p>
        </w:tc>
        <w:tc>
          <w:tcPr>
            <w:tcW w:type="dxa" w:w="53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Tool, API, approval workflow and privilege review</w:t>
            </w:r>
          </w:p>
        </w:tc>
      </w:tr>
      <w:tr>
        <w:trPr>
          <w:cantSplit/>
          <w:tblHeader w:val="false"/>
        </w:trPr>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Gate 5</w:t>
            </w:r>
          </w:p>
        </w:tc>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Vendor AI platform</w:t>
            </w:r>
          </w:p>
        </w:tc>
        <w:tc>
          <w:tcPr>
            <w:tcW w:type="dxa" w:w="53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Sovereignty, third-party processing and procurement review</w:t>
            </w:r>
          </w:p>
        </w:tc>
      </w:tr>
      <w:tr>
        <w:trPr>
          <w:cantSplit/>
          <w:tblHeader w:val="false"/>
        </w:trPr>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Gate 6</w:t>
            </w:r>
          </w:p>
        </w:tc>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Production AI</w:t>
            </w:r>
          </w:p>
        </w:tc>
        <w:tc>
          <w:tcPr>
            <w:tcW w:type="dxa" w:w="539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Audit logging, SOC integration and evidence readiness review</w:t>
            </w:r>
          </w:p>
        </w:tc>
      </w:tr>
    </w:tbl>
    <w:p>
      <w:pPr>
        <w:spacing w:after="120"/>
      </w:pPr>
    </w:p>
    <w:p>
      <w:pPr>
        <w:spacing w:after="120"/>
      </w:pPr>
      <w:r>
        <w:t xml:space="preserve">A component without a named owner should not pass Gate 6.</w:t>
      </w:r>
    </w:p>
    <w:p>
      <w:pPr>
        <w:spacing w:after="120"/>
      </w:pPr>
      <w:r>
        <w:t xml:space="preserve">Before an AI vendor or embedded AI feature is used, it is assessed against the vendor evaluation framework, and its contract covers training use of our data, retention, sub-processors, model changes and incident notification. It is re-assessed when the vendor changes its model or terms.</w:t>
      </w:r>
    </w:p>
    <w:p>
      <w:pPr>
        <w:spacing w:after="120"/>
      </w:pPr>
      <w:r>
        <w:t xml:space="preserve">Where an AI system processes personal data, a privacy impact assessment is completed before go-live, and prompts, outputs, logs and other AI data are processed and stored only in approved locations.</w:t>
      </w:r>
    </w:p>
    <w:p>
      <w:pPr>
        <w:spacing w:after="160"/>
      </w:pPr>
      <w:r>
        <w:rPr>
          <w:b/>
          <w:bCs/>
          <w:color w:val="595959"/>
          <w:sz w:val="16"/>
          <w:szCs w:val="16"/>
        </w:rPr>
        <w:t xml:space="preserve">Source: </w:t>
      </w:r>
      <w:r>
        <w:rPr>
          <w:color w:val="595959"/>
          <w:sz w:val="16"/>
          <w:szCs w:val="16"/>
        </w:rPr>
        <w:t xml:space="preserve">AI Governance Operating Model (gates and component ownership); AI-CTRL-007, AI-CTRL-013, AI-CTRL-014.</w:t>
      </w:r>
    </w:p>
    <w:p>
      <w:pPr>
        <w:pStyle w:val="Heading1"/>
      </w:pPr>
      <w:r>
        <w:t xml:space="preserve">7. Monitoring and enforcement</w:t>
      </w:r>
    </w:p>
    <w:p>
      <w:pPr>
        <w:spacing w:after="120"/>
      </w:pPr>
      <w:r>
        <w:rPr>
          <w:highlight w:val="yellow"/>
        </w:rPr>
        <w:t xml:space="preserve">[Organization name]</w:t>
      </w:r>
      <w:r>
        <w:t xml:space="preserve"> discovers and monitors the use of AI services, extensions, plugins, embedded AI features and AI APIs, and inspects prompts and files sent to AI services for classified data, personal data, credentials and source code.</w:t>
      </w:r>
    </w:p>
    <w:p>
      <w:pPr>
        <w:spacing w:after="120"/>
      </w:pPr>
      <w:r>
        <w:t xml:space="preserve">Depending on the risk and the data, a policy may monitor, warn, redact, block or allow the action. Users are coached at the point of use.</w:t>
      </w:r>
    </w:p>
    <w:p>
      <w:pPr>
        <w:spacing w:after="120"/>
      </w:pPr>
      <w:r>
        <w:rPr>
          <w:highlight w:val="yellow"/>
        </w:rPr>
        <w:t xml:space="preserve">[State how users are told about monitoring, as required by your employment and privacy rules.]</w:t>
      </w:r>
    </w:p>
    <w:p>
      <w:pPr>
        <w:spacing w:after="160"/>
      </w:pPr>
      <w:r>
        <w:rPr>
          <w:b/>
          <w:bCs/>
          <w:color w:val="595959"/>
          <w:sz w:val="16"/>
          <w:szCs w:val="16"/>
        </w:rPr>
        <w:t xml:space="preserve">Source: </w:t>
      </w:r>
      <w:r>
        <w:rPr>
          <w:color w:val="595959"/>
          <w:sz w:val="16"/>
          <w:szCs w:val="16"/>
        </w:rPr>
        <w:t xml:space="preserve">AI-CTRL-001, AI-CTRL-002, AI-CTRL-003, AI-CTRL-010. The notice to users is organization-specific.</w:t>
      </w:r>
    </w:p>
    <w:p>
      <w:pPr>
        <w:pStyle w:val="Heading1"/>
      </w:pPr>
      <w:r>
        <w:t xml:space="preserve">8. Roles and responsibilities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rPr>
          <w:cantSplit/>
          <w:tblHeader/>
        </w:trPr>
        <w:tc>
          <w:tcPr>
            <w:tcW w:type="dxa" w:w="3084"/>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Role</w:t>
            </w:r>
          </w:p>
        </w:tc>
        <w:tc>
          <w:tcPr>
            <w:tcW w:type="dxa" w:w="6554"/>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Responsibility</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Governing body (board, or its risk or audit committee)</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Sets the AI risk appetite, approves this policy and its scope, approves the categories of AI use that are prohibited or always high-risk, and oversees AI risk through regular reporting.</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Accountable executive: </w:t>
            </w:r>
            <w:r>
              <w:rPr>
                <w:b/>
                <w:bCs/>
                <w:sz w:val="19"/>
                <w:szCs w:val="19"/>
                <w:highlight w:val="yellow"/>
              </w:rPr>
              <w:t xml:space="preserve">[name or role]</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Owns AI governance on behalf of the governing body and reports AI risk, incidents and exceptions upward.</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AI Governance Committee</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Approves high-risk use cases, risk acceptances and exceptions; reviews impact assessments.</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AI Product Owner</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Defines each use case, its data scope and business justification.</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Agent Sponsor</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Answers for one agent: its purpose, tools and systems, recertification and retirement.</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Data Owner</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Owns the quality, provenance and permitted use of each dataset used to train, fine-tune or ground an AI system.</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AI Platform Owner</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Runs the shared AI platform and keeps its inventories current.</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Security Architecture</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Reviews AI design, controls, integrations and residual risk.</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GRC / Compliance</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Validates policy, regulatory, audit and sovereignty requirements.</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Data Protection / DLP</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Validates data classification and leakage controls.</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AppSec / DevSecOps</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Validates custom AI application and AI-assisted development controls.</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SOC</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Validates alerting, logging, investigation and monitoring.</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Procurement / Legal</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Validates vendor terms, data processing, residency and contractual controls.</w:t>
            </w:r>
          </w:p>
        </w:tc>
      </w:tr>
      <w:tr>
        <w:trPr>
          <w:cantSplit/>
          <w:tblHeader w:val="false"/>
        </w:trPr>
        <w:tc>
          <w:tcPr>
            <w:tcW w:type="dxa" w:w="30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All users</w:t>
            </w:r>
          </w:p>
        </w:tc>
        <w:tc>
          <w:tcPr>
            <w:tcW w:type="dxa" w:w="655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Follow this policy, complete the AI training for their role, and report concerns.</w:t>
            </w:r>
          </w:p>
        </w:tc>
      </w:tr>
    </w:tbl>
    <w:p>
      <w:pPr>
        <w:spacing w:after="120"/>
      </w:pPr>
    </w:p>
    <w:p>
      <w:pPr>
        <w:spacing w:after="160"/>
      </w:pPr>
      <w:r>
        <w:rPr>
          <w:b/>
          <w:bCs/>
          <w:color w:val="595959"/>
          <w:sz w:val="16"/>
          <w:szCs w:val="16"/>
        </w:rPr>
        <w:t xml:space="preserve">Source: </w:t>
      </w:r>
      <w:r>
        <w:rPr>
          <w:color w:val="595959"/>
          <w:sz w:val="16"/>
          <w:szCs w:val="16"/>
        </w:rPr>
        <w:t xml:space="preserve">AI Governance Operating Model, "Governance Bodies". The "All users" row is organization-specific.</w:t>
      </w:r>
    </w:p>
    <w:p>
      <w:pPr>
        <w:pStyle w:val="Heading1"/>
      </w:pPr>
      <w:r>
        <w:t xml:space="preserve">9. Exceptions</w:t>
      </w:r>
    </w:p>
    <w:p>
      <w:pPr>
        <w:spacing w:after="120"/>
      </w:pPr>
      <w:r>
        <w:t xml:space="preserve">An exception to this policy must be approved by </w:t>
      </w:r>
      <w:r>
        <w:rPr>
          <w:highlight w:val="yellow"/>
        </w:rPr>
        <w:t xml:space="preserve">[the AI Governance Committee or named role]</w:t>
      </w:r>
      <w:r>
        <w:t xml:space="preserve"> before it takes effect. Every exception records:</w:t>
      </w:r>
    </w:p>
    <w:p>
      <w:pPr>
        <w:pStyle w:val="ListParagraph"/>
        <w:numPr>
          <w:ilvl w:val="0"/>
          <w:numId w:val="2"/>
        </w:numPr>
        <w:spacing w:after="60"/>
      </w:pPr>
      <w:r>
        <w:t xml:space="preserve">Business justification.</w:t>
      </w:r>
    </w:p>
    <w:p>
      <w:pPr>
        <w:pStyle w:val="ListParagraph"/>
        <w:numPr>
          <w:ilvl w:val="0"/>
          <w:numId w:val="2"/>
        </w:numPr>
        <w:spacing w:after="60"/>
      </w:pPr>
      <w:r>
        <w:t xml:space="preserve">Affected AI platform.</w:t>
      </w:r>
    </w:p>
    <w:p>
      <w:pPr>
        <w:pStyle w:val="ListParagraph"/>
        <w:numPr>
          <w:ilvl w:val="0"/>
          <w:numId w:val="2"/>
        </w:numPr>
        <w:spacing w:after="60"/>
      </w:pPr>
      <w:r>
        <w:t xml:space="preserve">Data classification.</w:t>
      </w:r>
    </w:p>
    <w:p>
      <w:pPr>
        <w:pStyle w:val="ListParagraph"/>
        <w:numPr>
          <w:ilvl w:val="0"/>
          <w:numId w:val="2"/>
        </w:numPr>
        <w:spacing w:after="60"/>
      </w:pPr>
      <w:r>
        <w:t xml:space="preserve">Compensating controls.</w:t>
      </w:r>
    </w:p>
    <w:p>
      <w:pPr>
        <w:pStyle w:val="ListParagraph"/>
        <w:numPr>
          <w:ilvl w:val="0"/>
          <w:numId w:val="2"/>
        </w:numPr>
        <w:spacing w:after="60"/>
      </w:pPr>
      <w:r>
        <w:t xml:space="preserve">Approval owner.</w:t>
      </w:r>
    </w:p>
    <w:p>
      <w:pPr>
        <w:pStyle w:val="ListParagraph"/>
        <w:numPr>
          <w:ilvl w:val="0"/>
          <w:numId w:val="2"/>
        </w:numPr>
        <w:spacing w:after="60"/>
      </w:pPr>
      <w:r>
        <w:t xml:space="preserve">Expiry date.</w:t>
      </w:r>
    </w:p>
    <w:p>
      <w:pPr>
        <w:pStyle w:val="ListParagraph"/>
        <w:numPr>
          <w:ilvl w:val="0"/>
          <w:numId w:val="2"/>
        </w:numPr>
        <w:spacing w:after="60"/>
      </w:pPr>
      <w:r>
        <w:t xml:space="preserve">Review cadence.</w:t>
      </w:r>
    </w:p>
    <w:p>
      <w:pPr>
        <w:spacing w:after="120"/>
      </w:pPr>
      <w:r>
        <w:t xml:space="preserve">Exceptions past their expiry date are reported to the governing body.</w:t>
      </w:r>
    </w:p>
    <w:p>
      <w:pPr>
        <w:spacing w:after="160"/>
      </w:pPr>
      <w:r>
        <w:rPr>
          <w:b/>
          <w:bCs/>
          <w:color w:val="595959"/>
          <w:sz w:val="16"/>
          <w:szCs w:val="16"/>
        </w:rPr>
        <w:t xml:space="preserve">Source: </w:t>
      </w:r>
      <w:r>
        <w:rPr>
          <w:color w:val="595959"/>
          <w:sz w:val="16"/>
          <w:szCs w:val="16"/>
        </w:rPr>
        <w:t xml:space="preserve">AI Risk Treatment Plan, "Exception Handling"; AI Governance Operating Model, "Board-Level Reporting"; AI-CTRL-010 (exceptions with an owner and expiry date).</w:t>
      </w:r>
    </w:p>
    <w:p>
      <w:pPr>
        <w:pStyle w:val="Heading1"/>
      </w:pPr>
      <w:r>
        <w:t xml:space="preserve">10. Training</w:t>
      </w:r>
    </w:p>
    <w:p>
      <w:pPr>
        <w:spacing w:after="120"/>
      </w:pPr>
      <w:r>
        <w:t xml:space="preserve">Everyone who builds, operates, oversees or uses AI receives training suited to their role, on a schedule and when their role or a system changes. Completion is recorded. </w:t>
      </w:r>
      <w:r>
        <w:rPr>
          <w:highlight w:val="yellow"/>
        </w:rPr>
        <w:t xml:space="preserve">[State the schedule, for example on joining and each year.]</w:t>
      </w:r>
    </w:p>
    <w:p>
      <w:pPr>
        <w:spacing w:after="160"/>
      </w:pPr>
      <w:r>
        <w:rPr>
          <w:b/>
          <w:bCs/>
          <w:color w:val="595959"/>
          <w:sz w:val="16"/>
          <w:szCs w:val="16"/>
        </w:rPr>
        <w:t xml:space="preserve">Source: </w:t>
      </w:r>
      <w:r>
        <w:rPr>
          <w:color w:val="595959"/>
          <w:sz w:val="16"/>
          <w:szCs w:val="16"/>
        </w:rPr>
        <w:t xml:space="preserve">AI-CTRL-044. The schedule is organization-specific.</w:t>
      </w:r>
    </w:p>
    <w:p>
      <w:pPr>
        <w:pStyle w:val="Heading1"/>
      </w:pPr>
      <w:r>
        <w:t xml:space="preserve">11. Breaches of this policy</w:t>
      </w:r>
    </w:p>
    <w:p>
      <w:pPr>
        <w:spacing w:after="120"/>
      </w:pPr>
      <w:r>
        <w:rPr>
          <w:highlight w:val="yellow"/>
        </w:rPr>
        <w:t xml:space="preserve">[Describe how breaches are handled, with reference to your disciplinary and incident policies.]</w:t>
      </w:r>
    </w:p>
    <w:p>
      <w:pPr>
        <w:spacing w:after="120"/>
      </w:pPr>
      <w:r>
        <w:rPr>
          <w:i/>
          <w:iCs/>
          <w:color w:val="595959"/>
          <w:sz w:val="18"/>
          <w:szCs w:val="18"/>
        </w:rPr>
        <w:t xml:space="preserve">Organization-specific: the wiki does not set consequences.</w:t>
      </w:r>
    </w:p>
    <w:p>
      <w:pPr>
        <w:pStyle w:val="Heading1"/>
      </w:pPr>
      <w:r>
        <w:t xml:space="preserve">12. Review</w:t>
      </w:r>
    </w:p>
    <w:p>
      <w:pPr>
        <w:spacing w:after="120"/>
      </w:pPr>
      <w:r>
        <w:rPr>
          <w:highlight w:val="yellow"/>
        </w:rPr>
        <w:t xml:space="preserve">[Document owner]</w:t>
      </w:r>
      <w:r>
        <w:t xml:space="preserve"> reviews this policy at least </w:t>
      </w:r>
      <w:r>
        <w:rPr>
          <w:highlight w:val="yellow"/>
        </w:rPr>
        <w:t xml:space="preserve">[every 12 months]</w:t>
      </w:r>
      <w:r>
        <w:t xml:space="preserve">, and when there is a significant change in AI use, technology, risk or regulation. Changes are approved by </w:t>
      </w:r>
      <w:r>
        <w:rPr>
          <w:highlight w:val="yellow"/>
        </w:rPr>
        <w:t xml:space="preserve">[the governing body]</w:t>
      </w:r>
      <w:r>
        <w:t xml:space="preserve">.</w:t>
      </w:r>
    </w:p>
    <w:p>
      <w:pPr>
        <w:spacing w:after="160"/>
      </w:pPr>
      <w:r>
        <w:rPr>
          <w:b/>
          <w:bCs/>
          <w:color w:val="595959"/>
          <w:sz w:val="16"/>
          <w:szCs w:val="16"/>
        </w:rPr>
        <w:t xml:space="preserve">Source: </w:t>
      </w:r>
      <w:r>
        <w:rPr>
          <w:color w:val="595959"/>
          <w:sz w:val="16"/>
          <w:szCs w:val="16"/>
        </w:rPr>
        <w:t xml:space="preserve">AI-CTRL-012 (policy with scope, owner and review date); AI Governance Operating Model (the AI policy is a decision reserved for the governing body). The interval is organization-specific.</w:t>
      </w:r>
    </w:p>
    <w:p>
      <w:pPr>
        <w:pStyle w:val="Heading1"/>
      </w:pPr>
      <w:r>
        <w:t xml:space="preserve">13. Related documents</w:t>
      </w:r>
    </w:p>
    <w:p>
      <w:pPr>
        <w:pStyle w:val="ListParagraph"/>
        <w:numPr>
          <w:ilvl w:val="0"/>
          <w:numId w:val="2"/>
        </w:numPr>
        <w:spacing w:after="60"/>
      </w:pPr>
      <w:r>
        <w:rPr>
          <w:highlight w:val="yellow"/>
        </w:rPr>
        <w:t xml:space="preserve">[Information classification policy]</w:t>
      </w:r>
    </w:p>
    <w:p>
      <w:pPr>
        <w:pStyle w:val="ListParagraph"/>
        <w:numPr>
          <w:ilvl w:val="0"/>
          <w:numId w:val="2"/>
        </w:numPr>
        <w:spacing w:after="60"/>
      </w:pPr>
      <w:r>
        <w:rPr>
          <w:highlight w:val="yellow"/>
        </w:rPr>
        <w:t xml:space="preserve">[Information security policy]</w:t>
      </w:r>
    </w:p>
    <w:p>
      <w:pPr>
        <w:pStyle w:val="ListParagraph"/>
        <w:numPr>
          <w:ilvl w:val="0"/>
          <w:numId w:val="2"/>
        </w:numPr>
        <w:spacing w:after="60"/>
      </w:pPr>
      <w:r>
        <w:rPr>
          <w:highlight w:val="yellow"/>
        </w:rPr>
        <w:t xml:space="preserve">[Privacy policy]</w:t>
      </w:r>
    </w:p>
    <w:p>
      <w:pPr>
        <w:pStyle w:val="ListParagraph"/>
        <w:numPr>
          <w:ilvl w:val="0"/>
          <w:numId w:val="2"/>
        </w:numPr>
        <w:spacing w:after="60"/>
      </w:pPr>
      <w:r>
        <w:rPr>
          <w:highlight w:val="yellow"/>
        </w:rPr>
        <w:t xml:space="preserve">[AI risk management procedure, for example based on the wiki AI Risk Methodology]</w:t>
      </w:r>
    </w:p>
    <w:p>
      <w:pPr>
        <w:pStyle w:val="ListParagraph"/>
        <w:numPr>
          <w:ilvl w:val="0"/>
          <w:numId w:val="2"/>
        </w:numPr>
        <w:spacing w:after="60"/>
      </w:pPr>
      <w:r>
        <w:rPr>
          <w:highlight w:val="yellow"/>
        </w:rPr>
        <w:t xml:space="preserve">[Third-party risk management procedure]</w:t>
      </w:r>
    </w:p>
    <w:p>
      <w:pPr>
        <w:pStyle w:val="ListParagraph"/>
        <w:numPr>
          <w:ilvl w:val="0"/>
          <w:numId w:val="2"/>
        </w:numPr>
        <w:spacing w:after="60"/>
      </w:pPr>
      <w:r>
        <w:rPr>
          <w:highlight w:val="yellow"/>
        </w:rPr>
        <w:t xml:space="preserve">[Incident response plan]</w:t>
      </w:r>
    </w:p>
    <w:p>
      <w:r>
        <w:br w:type="page"/>
      </w:r>
    </w:p>
    <w:p>
      <w:pPr>
        <w:pStyle w:val="Heading1"/>
      </w:pPr>
      <w:r>
        <w:t xml:space="preserve">Annex A. Policy-to-control mapping</w:t>
      </w:r>
    </w:p>
    <w:p>
      <w:pPr>
        <w:spacing w:after="120"/>
      </w:pPr>
      <w:r>
        <w:t xml:space="preserve">AI-CTRL-012 asks for each policy statement to be mapped to a control. The IDs are the wiki's controls; replace them with your own if you use a different library.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4"/>
        <w:gridCol w:w="5301"/>
        <w:gridCol w:w="3373"/>
      </w:tblGrid>
      <w:tr>
        <w:trPr>
          <w:cantSplit/>
          <w:tblHeader/>
        </w:trPr>
        <w:tc>
          <w:tcPr>
            <w:tcW w:type="dxa" w:w="964"/>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Section</w:t>
            </w:r>
          </w:p>
        </w:tc>
        <w:tc>
          <w:tcPr>
            <w:tcW w:type="dxa" w:w="5301"/>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Policy statement</w:t>
            </w:r>
          </w:p>
        </w:tc>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Wiki control</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4.1</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Use only approved AI tools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AI-CTRL-001, AI-CTRL-012</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4.2</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Information that must not be put into AI tools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AI-CTRL-002, AI-CTRL-003, AI-CTRL-010</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4.3</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No personal accounts; no bypassing controls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AI-CTRL-001, AI-CTRL-010</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4.4</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Check AI output before use</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AI-CTRL-039</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4.5</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Prohibited and always-high-risk uses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AI-CTRL-011, AI-CTRL-012</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4.6</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Report concerns and incidents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AI-CTRL-035</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5.1</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 coding assistant rules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AI-CTRL-004</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5.2</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Agent rules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AI-CTRL-006, AI-CTRL-022, AI-CTRL-023, AI-CTRL-025</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5.3</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Registration, model pinning, supply chain and cost</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AI-CTRL-011, AI-CTRL-031, AI-CTRL-036</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6</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Approval gates, vendors, privacy and residency</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AI-CTRL-007, AI-CTRL-011, AI-CTRL-013, AI-CTRL-014</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7</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Monitoring and enforcement</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AI-CTRL-001, AI-CTRL-002, AI-CTRL-003, AI-CTRL-010</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8</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Roles and responsibilities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AI-CTRL-012</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9</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Exceptions</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AI-CTRL-010, AI-CTRL-037</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10</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Training</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AI-CTRL-044</w:t>
            </w:r>
          </w:p>
        </w:tc>
      </w:tr>
      <w:tr>
        <w:trPr>
          <w:cantSplit/>
          <w:tblHeader w:val="false"/>
        </w:trPr>
        <w:tc>
          <w:tcPr>
            <w:tcW w:type="dxa" w:w="96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12</w:t>
            </w:r>
          </w:p>
        </w:tc>
        <w:tc>
          <w:tcPr>
            <w:tcW w:type="dxa" w:w="5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Review</w:t>
            </w:r>
          </w:p>
        </w:tc>
        <w:tc>
          <w:tcPr>
            <w:tcW w:type="dxa" w:w="33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AI-CTRL-012</w:t>
            </w:r>
          </w:p>
        </w:tc>
      </w:tr>
    </w:tbl>
    <w:p>
      <w:pPr>
        <w:spacing w:after="120"/>
      </w:pPr>
    </w:p>
    <w:p>
      <w:pPr>
        <w:spacing w:after="160"/>
      </w:pPr>
      <w:r>
        <w:rPr>
          <w:b/>
          <w:bCs/>
          <w:color w:val="595959"/>
          <w:sz w:val="16"/>
          <w:szCs w:val="16"/>
        </w:rPr>
        <w:t xml:space="preserve">Source: </w:t>
      </w:r>
      <w:r>
        <w:rPr>
          <w:color w:val="595959"/>
          <w:sz w:val="16"/>
          <w:szCs w:val="16"/>
        </w:rPr>
        <w:t xml:space="preserve">AI Security Control Objectives Library. The mapping of sections to controls is this template's own.</w:t>
      </w:r>
    </w:p>
    <w:p>
      <w:pPr>
        <w:pStyle w:val="Heading1"/>
      </w:pPr>
      <w:r>
        <w:t xml:space="preserve">Annex B. Quick reference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blHeader/>
        </w:trPr>
        <w:tc>
          <w:tcPr>
            <w:tcW w:type="dxa" w:w="4819"/>
            <w:tcBorders>
              <w:top w:val="single" w:color="BFBFBF" w:sz="4"/>
              <w:left w:val="single" w:color="BFBFBF" w:sz="4"/>
              <w:bottom w:val="single" w:color="BFBFBF" w:sz="4"/>
              <w:right w:val="single" w:color="BFBFBF" w:sz="4"/>
            </w:tcBorders>
            <w:shd w:fill="548235" w:color="auto" w:val="clear"/>
            <w:tcMar>
              <w:top w:type="dxa" w:w="60"/>
              <w:left w:type="dxa" w:w="100"/>
              <w:bottom w:type="dxa" w:w="60"/>
              <w:right w:type="dxa" w:w="100"/>
            </w:tcMar>
          </w:tcPr>
          <w:p>
            <w:pPr>
              <w:spacing w:after="40"/>
            </w:pPr>
            <w:r>
              <w:rPr>
                <w:b/>
                <w:bCs/>
                <w:color w:val="FFFFFF"/>
                <w:sz w:val="19"/>
                <w:szCs w:val="19"/>
              </w:rPr>
              <w:t xml:space="preserve">Do</w:t>
            </w:r>
          </w:p>
        </w:tc>
        <w:tc>
          <w:tcPr>
            <w:tcW w:type="dxa" w:w="4819"/>
            <w:tcBorders>
              <w:top w:val="single" w:color="BFBFBF" w:sz="4"/>
              <w:left w:val="single" w:color="BFBFBF" w:sz="4"/>
              <w:bottom w:val="single" w:color="BFBFBF" w:sz="4"/>
              <w:right w:val="single" w:color="BFBFBF" w:sz="4"/>
            </w:tcBorders>
            <w:shd w:fill="548235" w:color="auto" w:val="clear"/>
            <w:tcMar>
              <w:top w:type="dxa" w:w="60"/>
              <w:left w:type="dxa" w:w="100"/>
              <w:bottom w:type="dxa" w:w="60"/>
              <w:right w:type="dxa" w:w="100"/>
            </w:tcMar>
          </w:tcPr>
          <w:p>
            <w:pPr>
              <w:spacing w:after="40"/>
            </w:pPr>
            <w:r>
              <w:rPr>
                <w:b/>
                <w:bCs/>
                <w:color w:val="FFFFFF"/>
                <w:sz w:val="19"/>
                <w:szCs w:val="19"/>
              </w:rPr>
              <w:t xml:space="preserve">Do not</w:t>
            </w:r>
          </w:p>
        </w:tc>
      </w:tr>
      <w:tr>
        <w:trPr>
          <w:cantSplit/>
          <w:tblHeader w:val="false"/>
        </w:trPr>
        <w:tc>
          <w:tcPr>
            <w:tcW w:type="dxa" w:w="48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Use approved enterprise AI platforms.</w:t>
            </w:r>
          </w:p>
          <w:p>
            <w:pPr>
              <w:spacing w:after="40"/>
            </w:pPr>
            <w:r>
              <w:rPr>
                <w:b w:val="false"/>
                <w:bCs w:val="false"/>
                <w:sz w:val="19"/>
                <w:szCs w:val="19"/>
              </w:rPr>
              <w:t xml:space="preserve">Check AI output, links and packages before you use them.</w:t>
            </w:r>
          </w:p>
          <w:p>
            <w:pPr>
              <w:spacing w:after="40"/>
            </w:pPr>
            <w:r>
              <w:rPr>
                <w:b w:val="false"/>
                <w:bCs w:val="false"/>
                <w:sz w:val="19"/>
                <w:szCs w:val="19"/>
              </w:rPr>
              <w:t xml:space="preserve">Ask </w:t>
            </w:r>
            <w:r>
              <w:rPr>
                <w:b w:val="false"/>
                <w:bCs w:val="false"/>
                <w:sz w:val="19"/>
                <w:szCs w:val="19"/>
                <w:highlight w:val="yellow"/>
              </w:rPr>
              <w:t xml:space="preserve">[contact]</w:t>
            </w:r>
            <w:r>
              <w:rPr>
                <w:b w:val="false"/>
                <w:bCs w:val="false"/>
                <w:sz w:val="19"/>
                <w:szCs w:val="19"/>
              </w:rPr>
              <w:t xml:space="preserve"> before using a new AI tool.</w:t>
            </w:r>
          </w:p>
          <w:p>
            <w:pPr>
              <w:spacing w:after="40"/>
            </w:pPr>
            <w:r>
              <w:rPr>
                <w:b w:val="false"/>
                <w:bCs w:val="false"/>
                <w:sz w:val="19"/>
                <w:szCs w:val="19"/>
              </w:rPr>
              <w:t xml:space="preserve">Report anything unexpected to </w:t>
            </w:r>
            <w:r>
              <w:rPr>
                <w:b w:val="false"/>
                <w:bCs w:val="false"/>
                <w:sz w:val="19"/>
                <w:szCs w:val="19"/>
                <w:highlight w:val="yellow"/>
              </w:rPr>
              <w:t xml:space="preserve">[security contact]</w:t>
            </w:r>
            <w:r>
              <w:rPr>
                <w:b w:val="false"/>
                <w:bCs w:val="false"/>
                <w:sz w:val="19"/>
                <w:szCs w:val="19"/>
              </w:rPr>
              <w:t xml:space="preserve">.</w:t>
            </w:r>
          </w:p>
        </w:tc>
        <w:tc>
          <w:tcPr>
            <w:tcW w:type="dxa" w:w="48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Put secrets, customer, employee or regulated data into unapproved AI tools.</w:t>
            </w:r>
          </w:p>
          <w:p>
            <w:pPr>
              <w:spacing w:after="40"/>
            </w:pPr>
            <w:r>
              <w:rPr>
                <w:b w:val="false"/>
                <w:bCs w:val="false"/>
                <w:sz w:val="19"/>
                <w:szCs w:val="19"/>
              </w:rPr>
              <w:t xml:space="preserve">Use personal AI accounts for work.</w:t>
            </w:r>
          </w:p>
          <w:p>
            <w:pPr>
              <w:spacing w:after="40"/>
            </w:pPr>
            <w:r>
              <w:rPr>
                <w:b w:val="false"/>
                <w:bCs w:val="false"/>
                <w:sz w:val="19"/>
                <w:szCs w:val="19"/>
              </w:rPr>
              <w:t xml:space="preserve">Bypass browser, endpoint or DLP controls.</w:t>
            </w:r>
          </w:p>
          <w:p>
            <w:pPr>
              <w:spacing w:after="40"/>
            </w:pPr>
            <w:r>
              <w:rPr>
                <w:b w:val="false"/>
                <w:bCs w:val="false"/>
                <w:sz w:val="19"/>
                <w:szCs w:val="19"/>
              </w:rPr>
              <w:t xml:space="preserve">Let an agent take a sensitive action without human approval.</w:t>
            </w:r>
          </w:p>
        </w:tc>
      </w:tr>
    </w:tbl>
    <w:p>
      <w:pPr>
        <w:spacing w:after="120"/>
      </w:pPr>
    </w:p>
    <w:p>
      <w:r>
        <w:br w:type="page"/>
      </w:r>
    </w:p>
    <w:p>
      <w:pPr>
        <w:pStyle w:val="Heading1"/>
      </w:pPr>
      <w:r>
        <w:t xml:space="preserve">Annex C. User acknowledgement</w:t>
      </w:r>
    </w:p>
    <w:p>
      <w:pPr>
        <w:spacing w:after="120"/>
      </w:pPr>
      <w:r>
        <w:t xml:space="preserve">I have read and understood the </w:t>
      </w:r>
      <w:r>
        <w:rPr>
          <w:highlight w:val="yellow"/>
        </w:rPr>
        <w:t xml:space="preserve">[Organization name]</w:t>
      </w:r>
      <w:r>
        <w:t xml:space="preserve"> AI Acceptable Use Policy, version </w:t>
      </w:r>
      <w:r>
        <w:rPr>
          <w:highlight w:val="yellow"/>
        </w:rPr>
        <w:t xml:space="preserve">[x]</w:t>
      </w:r>
      <w:r>
        <w:t xml:space="preserve">, and I agree to follow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Name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Role or department</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Signature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r>
        <w:br w:type="page"/>
      </w:r>
    </w:p>
    <w:p>
      <w:pPr>
        <w:pStyle w:val="Heading1"/>
      </w:pPr>
      <w:r>
        <w:t xml:space="preserve">Sources in the AI Security Wiki</w:t>
      </w:r>
    </w:p>
    <w:p>
      <w:pPr>
        <w:spacing w:after="60"/>
      </w:pPr>
      <w:hyperlink w:history="1" r:id="rIdjtx7up5p6nefklplpzgul">
        <w:r>
          <w:rPr>
            <w:rStyle w:val="Hyperlink"/>
          </w:rPr>
          <w:t xml:space="preserve">AI Policy, Standards and Acceptable Use</w:t>
        </w:r>
      </w:hyperlink>
    </w:p>
    <w:p>
      <w:pPr>
        <w:spacing w:after="60"/>
      </w:pPr>
      <w:hyperlink w:history="1" r:id="rIdh_knbobw7x-oxabtqyk8o">
        <w:r>
          <w:rPr>
            <w:rStyle w:val="Hyperlink"/>
          </w:rPr>
          <w:t xml:space="preserve">AI Governance Operating Model</w:t>
        </w:r>
      </w:hyperlink>
    </w:p>
    <w:p>
      <w:pPr>
        <w:spacing w:after="60"/>
      </w:pPr>
      <w:hyperlink w:history="1" r:id="rIdc30etcev0rqjymotv2fcc">
        <w:r>
          <w:rPr>
            <w:rStyle w:val="Hyperlink"/>
          </w:rPr>
          <w:t xml:space="preserve">AI Security Control Objectives Library</w:t>
        </w:r>
      </w:hyperlink>
    </w:p>
    <w:p>
      <w:pPr>
        <w:spacing w:after="60"/>
      </w:pPr>
      <w:hyperlink w:history="1" r:id="rIdvwfyccgint_y8wcudisvp">
        <w:r>
          <w:rPr>
            <w:rStyle w:val="Hyperlink"/>
          </w:rPr>
          <w:t xml:space="preserve">AI Risk Treatment Plan</w:t>
        </w:r>
      </w:hyperlink>
    </w:p>
    <w:p>
      <w:pPr>
        <w:spacing w:after="60"/>
      </w:pPr>
      <w:hyperlink w:history="1" r:id="rIdwn-rihslaq3z1-xkf2yen">
        <w:r>
          <w:rPr>
            <w:rStyle w:val="Hyperlink"/>
          </w:rPr>
          <w:t xml:space="preserve">AI Use-Case Risk Triage</w:t>
        </w:r>
      </w:hyperlink>
    </w:p>
    <w:p>
      <w:pPr>
        <w:spacing w:after="60"/>
      </w:pPr>
      <w:hyperlink w:history="1" r:id="rIdpjyvde0patljyfzj8zvni">
        <w:r>
          <w:rPr>
            <w:rStyle w:val="Hyperlink"/>
          </w:rPr>
          <w:t xml:space="preserve">EU T01 AI System Classification</w:t>
        </w:r>
      </w:hyperlink>
    </w:p>
    <w:p>
      <w:pPr>
        <w:spacing w:after="60"/>
      </w:pPr>
      <w:hyperlink w:history="1" r:id="rIdzdcxnymux-o7kdbyfddmg">
        <w:r>
          <w:rPr>
            <w:rStyle w:val="Hyperlink"/>
          </w:rPr>
          <w:t xml:space="preserve">AI Security Glossary and Taxonomy</w:t>
        </w:r>
      </w:hyperlink>
    </w:p>
    <w:p>
      <w:pPr>
        <w:pStyle w:val="Heading1"/>
      </w:pPr>
      <w:r>
        <w:t xml:space="preserve">Licence and credit</w:t>
      </w:r>
    </w:p>
    <w:p>
      <w:pPr>
        <w:spacing w:after="120"/>
      </w:pPr>
      <w:r>
        <w:t xml:space="preserve">AI Acceptable Use Policy (this template) Copyright (c) 2026 Nachiket Sathaye. It is licensed under the Creative Commons Attribution-ShareAlike 4.0 International License (CC BY-SA 4.0).</w:t>
      </w:r>
    </w:p>
    <w:p>
      <w:pPr>
        <w:spacing w:after="60"/>
      </w:pPr>
      <w:hyperlink w:history="1" r:id="rIdayxoe-ppleicbkfrvb1nn">
        <w:r>
          <w:rPr>
            <w:rStyle w:val="Hyperlink"/>
          </w:rPr>
          <w:t xml:space="preserve">License summary: https://creativecommons.org/licenses/by-sa/4.0/</w:t>
        </w:r>
      </w:hyperlink>
    </w:p>
    <w:p>
      <w:pPr>
        <w:spacing w:after="60"/>
      </w:pPr>
      <w:hyperlink w:history="1" r:id="rIdjhpwtbjfgokx5tbphigqv">
        <w:r>
          <w:rPr>
            <w:rStyle w:val="Hyperlink"/>
          </w:rPr>
          <w:t xml:space="preserve">Full legal code: https://creativecommons.org/licenses/by-sa/4.0/legalcode.en</w:t>
        </w:r>
      </w:hyperlink>
    </w:p>
    <w:p>
      <w:pPr>
        <w:spacing w:after="60"/>
      </w:pPr>
      <w:hyperlink w:history="1" r:id="rIdqy2e4jogwixajpmhggqoo">
        <w:r>
          <w:rPr>
            <w:rStyle w:val="Hyperlink"/>
          </w:rPr>
          <w:t xml:space="preserve">Source: https://nachi065.github.io/AI-Security-Wiki/</w:t>
        </w:r>
      </w:hyperlink>
    </w:p>
    <w:p>
      <w:pPr>
        <w:spacing w:after="60"/>
      </w:pPr>
      <w:hyperlink w:history="1" r:id="rIdioceahb4llqf4vdlizmx0">
        <w:r>
          <w:rPr>
            <w:rStyle w:val="Hyperlink"/>
          </w:rPr>
          <w:t xml:space="preserve">Repository: https://github.com/nachi065/AI-Security-Wiki</w:t>
        </w:r>
      </w:hyperlink>
    </w:p>
    <w:p>
      <w:pPr>
        <w:pStyle w:val="Heading3"/>
      </w:pPr>
      <w:r>
        <w:t xml:space="preserve">How to credit this work</w:t>
      </w:r>
    </w:p>
    <w:p>
      <w:pPr>
        <w:spacing w:after="120"/>
      </w:pPr>
      <w:r>
        <w:t xml:space="preserve">"AI Acceptable Use Policy" by Nachiket Sathaye, AI Security Wiki (https://nachi065.github.io/AI-Security-Wiki/), licensed under CC BY-SA 4.0 (https://creativecommons.org/licenses/by-sa/4.0/).</w:t>
      </w:r>
    </w:p>
    <w:p>
      <w:pPr>
        <w:spacing w:after="120"/>
      </w:pPr>
      <w:r>
        <w:t xml:space="preserve">If you change it, say so and keep earlier change notes, for example: "Adapted from AI Acceptable Use Policy by Nachiket Sathaye (https://nachi065.github.io/AI-Security-Wiki/), CC BY-SA 4.0. Changes: filled in for our organization and changed sections </w:t>
      </w:r>
      <w:r>
        <w:rPr>
          <w:highlight w:val="yellow"/>
        </w:rPr>
        <w:t xml:space="preserve">[x]</w:t>
      </w:r>
      <w:r>
        <w:t xml:space="preserve">." Keep this licence section, the copyright notice and the third-party credits when you share the template or a document made from it.</w:t>
      </w:r>
    </w:p>
    <w:p>
      <w:pPr>
        <w:pStyle w:val="Heading3"/>
      </w:pPr>
      <w:r>
        <w:t xml:space="preserve">ShareAlike</w:t>
      </w:r>
    </w:p>
    <w:p>
      <w:pPr>
        <w:spacing w:after="120"/>
      </w:pPr>
      <w:r>
        <w:t xml:space="preserve">If you remix, transform or build on this template and share the result, you must license your contributions under CC BY-SA 4.0, a later version of CC BY-SA, or a BY-SA Compatible License listed by Creative Commons at https://creativecommons.org/compatiblelicenses. You may not add terms, or apply technical measures such as DRM, that stop others from doing what the license allows.</w:t>
      </w:r>
    </w:p>
    <w:p>
      <w:pPr>
        <w:pStyle w:val="Heading3"/>
      </w:pPr>
      <w:r>
        <w:t xml:space="preserve">Disclaimer</w:t>
      </w:r>
    </w:p>
    <w:p>
      <w:pPr>
        <w:spacing w:after="120"/>
      </w:pPr>
      <w:r>
        <w:t xml:space="preserve">The template is offered as-is, without warranties of any kind, and the licensor is not liable for its use, as set out in Section 5 of the license. It is not legal, audit or professional advice. Its framework and regulatory references are the wiki's own and should be checked against each source.</w:t>
      </w:r>
    </w:p>
    <w:p>
      <w:pPr>
        <w:pStyle w:val="Heading3"/>
      </w:pPr>
      <w:r>
        <w:t xml:space="preserve">Third-party material</w:t>
      </w:r>
    </w:p>
    <w:p>
      <w:pPr>
        <w:spacing w:after="120"/>
      </w:pPr>
      <w:r>
        <w:t xml:space="preserve">Framework names, identifiers and short item titles (for example ISO/IEC, NIST, OWASP and laws and regulations) are cited for reference only. They belong to their owners and are not licensed by this notice. The license does not grant trademark rights (Section 2(b)(2)). To use this template under other terms, contact the author through https://github.com/nachi065/AI-Security-Wiki.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6"/>
        <w:szCs w:val="16"/>
      </w:rPr>
      <w:t xml:space="preserve">AI Acceptable Use Policy. Template Copyright (c) 2026 Nachiket Sathaye, CC BY-SA 4.0.  Page </w:t>
    </w:r>
    <w:r>
      <w:rPr>
        <w:color w:val="595959"/>
        <w:sz w:val="16"/>
        <w:szCs w:val="16"/>
      </w:rPr>
      <w:fldChar w:fldCharType="begin"/>
      <w:instrText xml:space="preserve">PAGE</w:instrText>
      <w:fldChar w:fldCharType="separate"/>
      <w:fldChar w:fldCharType="end"/>
    </w:r>
    <w:r>
      <w:rPr>
        <w:color w:val="595959"/>
        <w:sz w:val="16"/>
        <w:szCs w:val="16"/>
      </w:rPr>
      <w:t xml:space="preserve"> of </w:t>
    </w:r>
    <w:r>
      <w:rPr>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95959"/>
        <w:sz w:val="16"/>
        <w:szCs w:val="16"/>
      </w:rPr>
      <w:t xml:space="preserve">[Organization name]  |  AI Acceptable Use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F5597"/>
      <w:sz w:val="26"/>
      <w:szCs w:val="26"/>
    </w:rPr>
  </w:style>
  <w:style w:type="paragraph" w:styleId="Heading3">
    <w:name w:val="Heading 3"/>
    <w:basedOn w:val="Normal"/>
    <w:next w:val="Normal"/>
    <w:qFormat/>
    <w:pPr>
      <w:spacing w:after="80" w:before="200"/>
      <w:outlineLvl w:val="2"/>
    </w:pPr>
    <w:rPr>
      <w:rFonts w:ascii="Arial" w:cs="Arial" w:eastAsia="Arial" w:hAnsi="Arial"/>
      <w:b/>
      <w:bCs/>
      <w:color w:val="40404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tx7up5p6nefklplpzgul" Type="http://schemas.openxmlformats.org/officeDocument/2006/relationships/hyperlink" Target="https://nachi065.github.io/AI-Security-Wiki/08_Governance/17_AI_Policy_Standards_and_Acceptable_Use.html" TargetMode="External"/><Relationship Id="rIdh_knbobw7x-oxabtqyk8o" Type="http://schemas.openxmlformats.org/officeDocument/2006/relationships/hyperlink" Target="https://nachi065.github.io/AI-Security-Wiki/08_Governance/16_AI_Governance_Operating_Model.html" TargetMode="External"/><Relationship Id="rIdc30etcev0rqjymotv2fcc" Type="http://schemas.openxmlformats.org/officeDocument/2006/relationships/hyperlink" Target="https://nachi065.github.io/AI-Security-Wiki/03_Control_Library/03_AI_Security_Control_Objectives_Library.html" TargetMode="External"/><Relationship Id="rIdvwfyccgint_y8wcudisvp" Type="http://schemas.openxmlformats.org/officeDocument/2006/relationships/hyperlink" Target="https://nachi065.github.io/AI-Security-Wiki/02_Risk_Management/02C_AI_Risk_Treatment_Plan.html" TargetMode="External"/><Relationship Id="rIdwn-rihslaq3z1-xkf2yen" Type="http://schemas.openxmlformats.org/officeDocument/2006/relationships/hyperlink" Target="https://nachi065.github.io/AI-Security-Wiki/02_Risk_Management/02F_AI_Use_Case_Risk_Triage.html" TargetMode="External"/><Relationship Id="rIdpjyvde0patljyfzj8zvni" Type="http://schemas.openxmlformats.org/officeDocument/2006/relationships/hyperlink" Target="https://nachi065.github.io/AI-Security-Wiki/12_EU_AI_Compliance/T01_AI_System_Classification.html" TargetMode="External"/><Relationship Id="rIdzdcxnymux-o7kdbyfddmg" Type="http://schemas.openxmlformats.org/officeDocument/2006/relationships/hyperlink" Target="https://nachi065.github.io/AI-Security-Wiki/09_Reference/18_AI_Security_Glossary_and_Taxonomy.html" TargetMode="External"/><Relationship Id="rIdayxoe-ppleicbkfrvb1nn" Type="http://schemas.openxmlformats.org/officeDocument/2006/relationships/hyperlink" Target="https://creativecommons.org/licenses/by-sa/4.0/" TargetMode="External"/><Relationship Id="rIdjhpwtbjfgokx5tbphigqv" Type="http://schemas.openxmlformats.org/officeDocument/2006/relationships/hyperlink" Target="https://creativecommons.org/licenses/by-sa/4.0/legalcode.en" TargetMode="External"/><Relationship Id="rIdqy2e4jogwixajpmhggqoo" Type="http://schemas.openxmlformats.org/officeDocument/2006/relationships/hyperlink" Target="https://nachi065.github.io/AI-Security-Wiki/" TargetMode="External"/><Relationship Id="rIdioceahb4llqf4vdlizmx0" Type="http://schemas.openxmlformats.org/officeDocument/2006/relationships/hyperlink" Target="https://github.com/nachi065/AI-Security-Wiki"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dc:title>
  <dc:subject>AI acceptable use policy template built from the AI Security Wiki</dc:subject>
  <dc:creator>Nachiket Sathaye</dc:creator>
  <cp:keywords>AI policy; acceptable use; AI governance; CC BY-SA 4.0</cp:keywords>
  <dc:description>Copyright (c) 2026 Nachiket Sathaye. Licensed under CC BY-SA 4.0: https://creativecommons.org/licenses/by-sa/4.0/. Source: https://nachi065.github.io/AI-Security-Wiki/</dc:description>
  <cp:lastModifiedBy>Nachiket Sathaye</cp:lastModifiedBy>
  <cp:revision>1</cp:revision>
  <dcterms:created xsi:type="dcterms:W3CDTF">2026-10-17T20:40:20.504Z</dcterms:created>
  <dcterms:modified xsi:type="dcterms:W3CDTF">2026-10-17T20:40:20.504Z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CC BY-SA 4.0</vt:lpwstr>
  </property>
  <property fmtid="{D5CDD505-2E9C-101B-9397-08002B2CF9AE}" pid="3" name="License URL">
    <vt:lpwstr>https://creativecommons.org/licenses/by-sa/4.0/</vt:lpwstr>
  </property>
  <property fmtid="{D5CDD505-2E9C-101B-9397-08002B2CF9AE}" pid="4" name="Copyright">
    <vt:lpwstr>Copyright (c) 2026 Nachiket Sathaye</vt:lpwstr>
  </property>
  <property fmtid="{D5CDD505-2E9C-101B-9397-08002B2CF9AE}" pid="5" name="Source">
    <vt:lpwstr>https://nachi065.github.io/AI-Security-Wiki/</vt:lpwstr>
  </property>
</Properties>
</file>